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F" w:rsidRDefault="007849E1" w:rsidP="007849E1">
      <w:pPr>
        <w:jc w:val="center"/>
        <w:rPr>
          <w:b/>
        </w:rPr>
      </w:pPr>
      <w:r w:rsidRPr="007849E1">
        <w:rPr>
          <w:b/>
        </w:rPr>
        <w:t>Standard 4</w:t>
      </w:r>
      <w:r w:rsidR="00CE588B">
        <w:rPr>
          <w:b/>
        </w:rPr>
        <w:t xml:space="preserve"> Diversity Support for Candidates</w:t>
      </w:r>
    </w:p>
    <w:p w:rsidR="007849E1" w:rsidRDefault="007849E1" w:rsidP="007849E1">
      <w:pPr>
        <w:ind w:left="-90" w:right="-540"/>
        <w:rPr>
          <w:i/>
        </w:rPr>
      </w:pPr>
      <w:r w:rsidRPr="007849E1">
        <w:rPr>
          <w:i/>
        </w:rPr>
        <w:t>4.4</w:t>
      </w:r>
      <w:proofErr w:type="gramStart"/>
      <w:r w:rsidRPr="007849E1">
        <w:rPr>
          <w:i/>
        </w:rPr>
        <w:t>.i</w:t>
      </w:r>
      <w:proofErr w:type="gramEnd"/>
      <w:r w:rsidRPr="007849E1">
        <w:rPr>
          <w:i/>
        </w:rPr>
        <w:t xml:space="preserve"> Policies, procedures, and practices that support candidates working with P-12 students from diverse groups </w:t>
      </w:r>
    </w:p>
    <w:p w:rsidR="0018588D" w:rsidRDefault="0018588D" w:rsidP="00FE53DB">
      <w:pPr>
        <w:spacing w:line="240" w:lineRule="auto"/>
        <w:ind w:left="-90" w:right="-540"/>
        <w:rPr>
          <w:b/>
          <w:sz w:val="24"/>
          <w:szCs w:val="24"/>
          <w:u w:val="single"/>
        </w:rPr>
      </w:pPr>
    </w:p>
    <w:p w:rsidR="006324CF" w:rsidRPr="0018588D" w:rsidRDefault="006324CF" w:rsidP="007849E1">
      <w:pPr>
        <w:ind w:left="-90" w:right="-540"/>
        <w:rPr>
          <w:b/>
          <w:sz w:val="24"/>
          <w:szCs w:val="24"/>
          <w:u w:val="single"/>
        </w:rPr>
      </w:pPr>
      <w:r w:rsidRPr="0018588D">
        <w:rPr>
          <w:b/>
          <w:sz w:val="24"/>
          <w:szCs w:val="24"/>
          <w:u w:val="single"/>
        </w:rPr>
        <w:t xml:space="preserve">VISION 2017 </w:t>
      </w:r>
    </w:p>
    <w:p w:rsidR="0018588D" w:rsidRPr="0018588D" w:rsidRDefault="006324CF" w:rsidP="0018588D">
      <w:pPr>
        <w:spacing w:after="0"/>
        <w:ind w:left="-90" w:right="-540"/>
        <w:rPr>
          <w:rFonts w:eastAsia="Times New Roman" w:cs="Arial"/>
          <w:i/>
          <w:sz w:val="24"/>
          <w:szCs w:val="24"/>
        </w:rPr>
      </w:pPr>
      <w:r w:rsidRPr="00B56BB2">
        <w:rPr>
          <w:i/>
          <w:sz w:val="24"/>
          <w:szCs w:val="24"/>
        </w:rPr>
        <w:t>The University’s mission</w:t>
      </w:r>
      <w:r w:rsidR="0018588D" w:rsidRPr="00B56BB2">
        <w:rPr>
          <w:i/>
          <w:sz w:val="24"/>
          <w:szCs w:val="24"/>
        </w:rPr>
        <w:t xml:space="preserve"> and strategic priorities specifically address diversity support for candidates.  These include t</w:t>
      </w:r>
      <w:r w:rsidR="0018588D" w:rsidRPr="0018588D">
        <w:rPr>
          <w:rFonts w:eastAsia="Times New Roman" w:cs="Arial"/>
          <w:i/>
          <w:sz w:val="24"/>
          <w:szCs w:val="24"/>
        </w:rPr>
        <w:t>o engage a diverse population of learners with powerful experiences</w:t>
      </w:r>
      <w:r w:rsidR="0018588D" w:rsidRPr="00B56BB2">
        <w:rPr>
          <w:rFonts w:eastAsia="Times New Roman" w:cs="Arial"/>
          <w:i/>
          <w:sz w:val="24"/>
          <w:szCs w:val="24"/>
        </w:rPr>
        <w:t xml:space="preserve"> and t</w:t>
      </w:r>
      <w:r w:rsidR="0018588D" w:rsidRPr="0018588D">
        <w:rPr>
          <w:rFonts w:eastAsia="Times New Roman" w:cs="Arial"/>
          <w:i/>
          <w:sz w:val="24"/>
          <w:szCs w:val="24"/>
        </w:rPr>
        <w:t>o prepare the University community to thrive in a global society.</w:t>
      </w:r>
    </w:p>
    <w:p w:rsidR="006324CF" w:rsidRDefault="0018588D" w:rsidP="007849E1">
      <w:pPr>
        <w:ind w:left="-90" w:right="-540"/>
        <w:rPr>
          <w:b/>
          <w:u w:val="single"/>
        </w:rPr>
      </w:pPr>
      <w:r w:rsidRPr="0018588D">
        <w:rPr>
          <w:b/>
          <w:u w:val="single"/>
        </w:rPr>
        <w:t>http://www.southeastern.edu/admin/president/assets/vision2017.pdf</w:t>
      </w:r>
    </w:p>
    <w:p w:rsidR="00FE53DB" w:rsidRDefault="00FE53DB" w:rsidP="007849E1">
      <w:pPr>
        <w:ind w:left="-90" w:right="-540"/>
        <w:rPr>
          <w:b/>
          <w:u w:val="single"/>
        </w:rPr>
      </w:pPr>
    </w:p>
    <w:p w:rsidR="006324CF" w:rsidRDefault="00B11DED" w:rsidP="007849E1">
      <w:pPr>
        <w:ind w:left="-90" w:right="-540"/>
        <w:rPr>
          <w:b/>
          <w:u w:val="single"/>
        </w:rPr>
      </w:pPr>
      <w:r>
        <w:rPr>
          <w:b/>
          <w:u w:val="single"/>
        </w:rPr>
        <w:t>COE and Dep</w:t>
      </w:r>
      <w:r w:rsidR="00CE5F4A">
        <w:rPr>
          <w:b/>
          <w:u w:val="single"/>
        </w:rPr>
        <w:t>artments</w:t>
      </w:r>
      <w:r>
        <w:rPr>
          <w:b/>
          <w:u w:val="single"/>
        </w:rPr>
        <w:t xml:space="preserve"> </w:t>
      </w:r>
    </w:p>
    <w:p w:rsidR="0018588D" w:rsidRDefault="001002CD" w:rsidP="007849E1">
      <w:pPr>
        <w:ind w:left="-90" w:right="-540"/>
        <w:rPr>
          <w:i/>
        </w:rPr>
      </w:pPr>
      <w:r>
        <w:rPr>
          <w:i/>
        </w:rPr>
        <w:t>The unit</w:t>
      </w:r>
      <w:r w:rsidR="00B11DED" w:rsidRPr="00B56BB2">
        <w:rPr>
          <w:i/>
        </w:rPr>
        <w:t xml:space="preserve"> addr</w:t>
      </w:r>
      <w:r>
        <w:rPr>
          <w:i/>
        </w:rPr>
        <w:t>esses all aspects of Vision 2017</w:t>
      </w:r>
      <w:r w:rsidR="00B11DED" w:rsidRPr="00B56BB2">
        <w:rPr>
          <w:i/>
        </w:rPr>
        <w:t xml:space="preserve">.  Numerous supports are offered to candidates with regard to working with diverse student </w:t>
      </w:r>
      <w:r w:rsidR="0027206C">
        <w:rPr>
          <w:i/>
        </w:rPr>
        <w:t>populations in diverse settings as indicated below.</w:t>
      </w:r>
    </w:p>
    <w:p w:rsidR="0027206C" w:rsidRPr="0027206C" w:rsidRDefault="0027206C" w:rsidP="0027206C">
      <w:pPr>
        <w:pStyle w:val="ListParagraph"/>
        <w:ind w:left="630" w:right="-540"/>
        <w:rPr>
          <w:i/>
        </w:rPr>
      </w:pPr>
    </w:p>
    <w:p w:rsidR="00370F51" w:rsidRDefault="00B11DED" w:rsidP="00B11DED">
      <w:pPr>
        <w:pStyle w:val="ListParagraph"/>
        <w:numPr>
          <w:ilvl w:val="0"/>
          <w:numId w:val="2"/>
        </w:numPr>
        <w:ind w:right="-540"/>
        <w:rPr>
          <w:b/>
          <w:u w:val="single"/>
        </w:rPr>
      </w:pPr>
      <w:r w:rsidRPr="00B11DED">
        <w:rPr>
          <w:b/>
          <w:u w:val="single"/>
        </w:rPr>
        <w:t>M</w:t>
      </w:r>
      <w:r w:rsidR="00B56BB2">
        <w:rPr>
          <w:b/>
          <w:u w:val="single"/>
        </w:rPr>
        <w:t>aster of Arts in Teaching (M</w:t>
      </w:r>
      <w:r w:rsidRPr="00B11DED">
        <w:rPr>
          <w:b/>
          <w:u w:val="single"/>
        </w:rPr>
        <w:t>AT</w:t>
      </w:r>
      <w:r w:rsidR="00B56BB2">
        <w:rPr>
          <w:b/>
          <w:u w:val="single"/>
        </w:rPr>
        <w:t>)</w:t>
      </w:r>
      <w:r w:rsidRPr="00B11DED">
        <w:rPr>
          <w:b/>
          <w:u w:val="single"/>
        </w:rPr>
        <w:t xml:space="preserve"> Handbook</w:t>
      </w:r>
    </w:p>
    <w:p w:rsidR="00B11DED" w:rsidRPr="00B56BB2" w:rsidRDefault="00B11DED" w:rsidP="00B11DED">
      <w:pPr>
        <w:pStyle w:val="ListParagraph"/>
        <w:ind w:left="630" w:right="-540"/>
        <w:rPr>
          <w:i/>
        </w:rPr>
      </w:pPr>
      <w:r w:rsidRPr="00B56BB2">
        <w:rPr>
          <w:i/>
        </w:rPr>
        <w:t>The handbook for initial certification candidates specifically addresses support for candidates through professional development, learning opportunities.</w:t>
      </w:r>
    </w:p>
    <w:p w:rsidR="00B11DED" w:rsidRPr="00B56BB2" w:rsidRDefault="00B11DED" w:rsidP="00B11DED">
      <w:pPr>
        <w:pStyle w:val="ListParagraph"/>
        <w:ind w:left="630" w:right="-540"/>
        <w:rPr>
          <w:i/>
        </w:rPr>
      </w:pPr>
    </w:p>
    <w:p w:rsidR="006324CF" w:rsidRDefault="006324CF" w:rsidP="00B11DED">
      <w:pPr>
        <w:pStyle w:val="ListParagraph"/>
        <w:numPr>
          <w:ilvl w:val="0"/>
          <w:numId w:val="2"/>
        </w:numPr>
        <w:ind w:right="-540"/>
        <w:rPr>
          <w:b/>
          <w:u w:val="single"/>
        </w:rPr>
      </w:pPr>
      <w:r w:rsidRPr="00B11DED">
        <w:rPr>
          <w:b/>
          <w:u w:val="single"/>
        </w:rPr>
        <w:t>Field Experience Handbook</w:t>
      </w:r>
    </w:p>
    <w:p w:rsidR="00840A89" w:rsidRDefault="0027206C" w:rsidP="00840A89">
      <w:pPr>
        <w:ind w:left="630"/>
        <w:rPr>
          <w:rFonts w:eastAsia="Times New Roman" w:cs="Arial"/>
        </w:rPr>
      </w:pPr>
      <w:r>
        <w:rPr>
          <w:i/>
        </w:rPr>
        <w:t>Placement of candidates in a variety of field sites to work with diverse populations</w:t>
      </w:r>
      <w:r w:rsidR="00840A89">
        <w:rPr>
          <w:i/>
        </w:rPr>
        <w:t xml:space="preserve"> is of primary importance in our degree programs.  As stated</w:t>
      </w:r>
      <w:r w:rsidR="002930E0">
        <w:rPr>
          <w:i/>
        </w:rPr>
        <w:t xml:space="preserve"> (p. 4)</w:t>
      </w:r>
      <w:r w:rsidR="00840A89">
        <w:rPr>
          <w:i/>
        </w:rPr>
        <w:t>, “</w:t>
      </w:r>
      <w:r w:rsidR="00840A89" w:rsidRPr="00840A89">
        <w:rPr>
          <w:rFonts w:eastAsia="Times New Roman" w:cs="Arial"/>
        </w:rPr>
        <w:t>Field Experience</w:t>
      </w:r>
      <w:r w:rsidR="00840A89">
        <w:rPr>
          <w:rFonts w:eastAsia="Times New Roman" w:cs="Arial"/>
        </w:rPr>
        <w:t xml:space="preserve"> </w:t>
      </w:r>
      <w:r w:rsidR="00840A89" w:rsidRPr="00840A89">
        <w:rPr>
          <w:rFonts w:eastAsia="Times New Roman" w:cs="Arial"/>
        </w:rPr>
        <w:t>must be diverse</w:t>
      </w:r>
      <w:r w:rsidR="00840A89">
        <w:rPr>
          <w:rFonts w:eastAsia="Times New Roman" w:cs="Arial"/>
        </w:rPr>
        <w:t xml:space="preserve"> </w:t>
      </w:r>
      <w:r w:rsidR="00840A89" w:rsidRPr="00840A89">
        <w:rPr>
          <w:rFonts w:eastAsia="Times New Roman" w:cs="Arial"/>
        </w:rPr>
        <w:t>-multiple districts, schools and cooperating teachers</w:t>
      </w:r>
      <w:r w:rsidR="00840A89">
        <w:rPr>
          <w:rFonts w:eastAsia="Times New Roman" w:cs="Arial"/>
        </w:rPr>
        <w:t xml:space="preserve">. </w:t>
      </w:r>
      <w:r w:rsidR="00840A89" w:rsidRPr="00840A89">
        <w:rPr>
          <w:rFonts w:eastAsia="Times New Roman" w:cs="Arial"/>
        </w:rPr>
        <w:t>Tutoring is accepted at specific sites and after</w:t>
      </w:r>
      <w:r w:rsidR="00840A89">
        <w:rPr>
          <w:rFonts w:eastAsia="Times New Roman" w:cs="Arial"/>
        </w:rPr>
        <w:t xml:space="preserve"> </w:t>
      </w:r>
      <w:r w:rsidR="00840A89" w:rsidRPr="00840A89">
        <w:rPr>
          <w:rFonts w:eastAsia="Times New Roman" w:cs="Arial"/>
        </w:rPr>
        <w:t>school as long as it is su</w:t>
      </w:r>
      <w:r w:rsidR="00840A89">
        <w:rPr>
          <w:rFonts w:eastAsia="Times New Roman" w:cs="Arial"/>
        </w:rPr>
        <w:t>pervised</w:t>
      </w:r>
      <w:r w:rsidR="00CE5F4A">
        <w:rPr>
          <w:rFonts w:eastAsia="Times New Roman" w:cs="Arial"/>
        </w:rPr>
        <w:t xml:space="preserve"> </w:t>
      </w:r>
      <w:r w:rsidR="00CE5F4A">
        <w:t>by a qualified cooperating teacher.</w:t>
      </w:r>
      <w:r w:rsidR="00CE5F4A">
        <w:rPr>
          <w:rFonts w:eastAsia="Times New Roman" w:cs="Arial"/>
        </w:rPr>
        <w:t xml:space="preserve"> “</w:t>
      </w:r>
    </w:p>
    <w:p w:rsidR="00CE5F4A" w:rsidRDefault="002930E0" w:rsidP="00517BC9">
      <w:pPr>
        <w:ind w:left="630"/>
        <w:rPr>
          <w:i/>
        </w:rPr>
      </w:pPr>
      <w:r>
        <w:rPr>
          <w:i/>
        </w:rPr>
        <w:t xml:space="preserve">The Coordinator of Field Experiences arranges </w:t>
      </w:r>
      <w:r w:rsidR="00CE5F4A">
        <w:rPr>
          <w:i/>
        </w:rPr>
        <w:t xml:space="preserve">placements </w:t>
      </w:r>
      <w:r>
        <w:rPr>
          <w:i/>
        </w:rPr>
        <w:t xml:space="preserve">including those that are needed in diverse settings and </w:t>
      </w:r>
      <w:r w:rsidR="00A30C80">
        <w:rPr>
          <w:i/>
        </w:rPr>
        <w:t>with diverse populations such as English as a Second Language, Special Education, or other diverse groups of stu</w:t>
      </w:r>
      <w:r w:rsidR="00A93CCC">
        <w:rPr>
          <w:i/>
        </w:rPr>
        <w:t xml:space="preserve">dents, the coordinator of field experiences </w:t>
      </w:r>
    </w:p>
    <w:p w:rsidR="00AE7DDB" w:rsidRPr="00B11DED" w:rsidRDefault="00F0622F" w:rsidP="00B11DED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bookmarkEnd w:id="0"/>
      <w:r w:rsidRPr="00B11DED">
        <w:rPr>
          <w:b/>
          <w:u w:val="single"/>
        </w:rPr>
        <w:t xml:space="preserve">Professional Development </w:t>
      </w:r>
    </w:p>
    <w:p w:rsidR="00715D29" w:rsidRPr="00715D29" w:rsidRDefault="00715D29" w:rsidP="00B56BB2">
      <w:pPr>
        <w:ind w:left="630"/>
        <w:rPr>
          <w:i/>
        </w:rPr>
      </w:pPr>
      <w:r>
        <w:rPr>
          <w:i/>
        </w:rPr>
        <w:t xml:space="preserve">The College of Education requires Teacher Candidates to accrue 25 professional development hours </w:t>
      </w:r>
      <w:r w:rsidR="009E073E">
        <w:rPr>
          <w:i/>
        </w:rPr>
        <w:t xml:space="preserve">as part of their introductory, developing, and competency </w:t>
      </w:r>
      <w:r>
        <w:rPr>
          <w:i/>
        </w:rPr>
        <w:t xml:space="preserve">portfolios. </w:t>
      </w:r>
      <w:r w:rsidR="009C21A1">
        <w:rPr>
          <w:i/>
        </w:rPr>
        <w:t>The following</w:t>
      </w:r>
      <w:r>
        <w:rPr>
          <w:i/>
        </w:rPr>
        <w:t xml:space="preserve"> professional development opportunities </w:t>
      </w:r>
      <w:r w:rsidR="009A3851">
        <w:rPr>
          <w:i/>
        </w:rPr>
        <w:t xml:space="preserve">are representative of those </w:t>
      </w:r>
      <w:r w:rsidR="009E073E">
        <w:rPr>
          <w:i/>
        </w:rPr>
        <w:t>focus</w:t>
      </w:r>
      <w:r w:rsidR="009C21A1">
        <w:rPr>
          <w:i/>
        </w:rPr>
        <w:t>ed</w:t>
      </w:r>
      <w:r w:rsidR="009E073E">
        <w:rPr>
          <w:i/>
        </w:rPr>
        <w:t xml:space="preserve"> on preparing Teacher Candidates to work effectively with diverse student populations.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4320"/>
        <w:gridCol w:w="3780"/>
      </w:tblGrid>
      <w:tr w:rsidR="009C21A1" w:rsidRPr="00AE7DDB" w:rsidTr="00487CAF">
        <w:tc>
          <w:tcPr>
            <w:tcW w:w="1728" w:type="dxa"/>
          </w:tcPr>
          <w:p w:rsidR="009C21A1" w:rsidRPr="00AE7DDB" w:rsidRDefault="009C21A1" w:rsidP="002C6AD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320" w:type="dxa"/>
          </w:tcPr>
          <w:p w:rsidR="009C21A1" w:rsidRPr="00AE7DDB" w:rsidRDefault="009C21A1" w:rsidP="00AE7DDB">
            <w:pPr>
              <w:jc w:val="center"/>
              <w:rPr>
                <w:b/>
              </w:rPr>
            </w:pPr>
            <w:r w:rsidRPr="00AE7DDB">
              <w:rPr>
                <w:b/>
              </w:rPr>
              <w:t>Title</w:t>
            </w:r>
            <w:r>
              <w:rPr>
                <w:b/>
              </w:rPr>
              <w:t xml:space="preserve"> of Presentation</w:t>
            </w:r>
          </w:p>
        </w:tc>
        <w:tc>
          <w:tcPr>
            <w:tcW w:w="3780" w:type="dxa"/>
          </w:tcPr>
          <w:p w:rsidR="009C21A1" w:rsidRPr="00AE7DDB" w:rsidRDefault="009C21A1" w:rsidP="009C21A1">
            <w:pPr>
              <w:jc w:val="center"/>
              <w:rPr>
                <w:b/>
              </w:rPr>
            </w:pPr>
            <w:r>
              <w:rPr>
                <w:b/>
              </w:rPr>
              <w:t>Presenter/Affiliation</w:t>
            </w:r>
          </w:p>
        </w:tc>
      </w:tr>
      <w:tr w:rsidR="009A3851" w:rsidTr="00487CAF">
        <w:tc>
          <w:tcPr>
            <w:tcW w:w="1728" w:type="dxa"/>
          </w:tcPr>
          <w:p w:rsidR="009A3851" w:rsidRDefault="009A3851" w:rsidP="002C6AD4">
            <w:pPr>
              <w:jc w:val="center"/>
            </w:pPr>
            <w:r>
              <w:t>2009</w:t>
            </w:r>
          </w:p>
        </w:tc>
        <w:tc>
          <w:tcPr>
            <w:tcW w:w="4320" w:type="dxa"/>
          </w:tcPr>
          <w:p w:rsidR="009A3851" w:rsidRDefault="009A3851" w:rsidP="00E44477">
            <w:pPr>
              <w:jc w:val="center"/>
            </w:pPr>
            <w:r>
              <w:t xml:space="preserve">The Dark Side of Diversity: Bullying, Harassment, &amp; Relational Aggression in the </w:t>
            </w:r>
            <w:r>
              <w:lastRenderedPageBreak/>
              <w:t>Schools/Building Social Emotional Skills in the Classroom</w:t>
            </w:r>
          </w:p>
        </w:tc>
        <w:tc>
          <w:tcPr>
            <w:tcW w:w="3780" w:type="dxa"/>
          </w:tcPr>
          <w:p w:rsidR="009A3851" w:rsidRPr="00703761" w:rsidRDefault="009A3851" w:rsidP="00E44477">
            <w:pPr>
              <w:jc w:val="center"/>
            </w:pPr>
            <w:r w:rsidRPr="00703761">
              <w:lastRenderedPageBreak/>
              <w:t>Dr. Paige Schulte</w:t>
            </w:r>
          </w:p>
          <w:p w:rsidR="009A3851" w:rsidRPr="002A6118" w:rsidRDefault="009A3851" w:rsidP="00E44477">
            <w:pPr>
              <w:jc w:val="center"/>
              <w:rPr>
                <w:highlight w:val="yellow"/>
              </w:rPr>
            </w:pPr>
            <w:r w:rsidRPr="00703761">
              <w:t>Southeastern Louisiana University</w:t>
            </w:r>
          </w:p>
        </w:tc>
      </w:tr>
      <w:tr w:rsidR="009A3851" w:rsidTr="00487CAF">
        <w:tc>
          <w:tcPr>
            <w:tcW w:w="1728" w:type="dxa"/>
          </w:tcPr>
          <w:p w:rsidR="009A3851" w:rsidRDefault="009A3851" w:rsidP="002C6AD4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4320" w:type="dxa"/>
          </w:tcPr>
          <w:p w:rsidR="009A3851" w:rsidRPr="004E30F1" w:rsidRDefault="009A3851" w:rsidP="00E44477">
            <w:pPr>
              <w:jc w:val="center"/>
            </w:pPr>
            <w:r w:rsidRPr="004E30F1">
              <w:t>Invite Your English Language Learners on a Journey of Learning through SIOP Adventures</w:t>
            </w:r>
          </w:p>
        </w:tc>
        <w:tc>
          <w:tcPr>
            <w:tcW w:w="3780" w:type="dxa"/>
          </w:tcPr>
          <w:p w:rsidR="009A3851" w:rsidRPr="004E30F1" w:rsidRDefault="009A3851" w:rsidP="00E44477">
            <w:pPr>
              <w:jc w:val="center"/>
            </w:pPr>
            <w:r w:rsidRPr="004E30F1">
              <w:t>Dr. Sadden</w:t>
            </w:r>
          </w:p>
        </w:tc>
      </w:tr>
      <w:tr w:rsidR="009A3851" w:rsidTr="00487CAF">
        <w:tc>
          <w:tcPr>
            <w:tcW w:w="1728" w:type="dxa"/>
          </w:tcPr>
          <w:p w:rsidR="009A3851" w:rsidRDefault="009A3851" w:rsidP="002C6AD4">
            <w:pPr>
              <w:jc w:val="center"/>
            </w:pPr>
            <w:r>
              <w:t>2009</w:t>
            </w:r>
          </w:p>
        </w:tc>
        <w:tc>
          <w:tcPr>
            <w:tcW w:w="4320" w:type="dxa"/>
          </w:tcPr>
          <w:p w:rsidR="009A3851" w:rsidRPr="004E30F1" w:rsidRDefault="009A3851" w:rsidP="00E44477">
            <w:pPr>
              <w:jc w:val="center"/>
            </w:pPr>
            <w:r w:rsidRPr="004E30F1">
              <w:t>Differentiated Instruction</w:t>
            </w:r>
          </w:p>
        </w:tc>
        <w:tc>
          <w:tcPr>
            <w:tcW w:w="3780" w:type="dxa"/>
          </w:tcPr>
          <w:p w:rsidR="009A3851" w:rsidRPr="004E30F1" w:rsidRDefault="009A3851" w:rsidP="00E44477">
            <w:pPr>
              <w:jc w:val="center"/>
            </w:pPr>
            <w:r w:rsidRPr="004E30F1">
              <w:t xml:space="preserve">Dr. Nicki </w:t>
            </w:r>
            <w:proofErr w:type="spellStart"/>
            <w:r w:rsidRPr="004E30F1">
              <w:t>Anzelmo</w:t>
            </w:r>
            <w:proofErr w:type="spellEnd"/>
            <w:r w:rsidRPr="004E30F1">
              <w:t>-Skelton</w:t>
            </w:r>
          </w:p>
          <w:p w:rsidR="009A3851" w:rsidRPr="004E30F1" w:rsidRDefault="009A3851" w:rsidP="00E44477">
            <w:pPr>
              <w:jc w:val="center"/>
            </w:pPr>
            <w:r w:rsidRPr="004E30F1">
              <w:t>Southeastern Louisiana University</w:t>
            </w:r>
          </w:p>
        </w:tc>
      </w:tr>
      <w:tr w:rsidR="009A3851" w:rsidTr="00487CAF">
        <w:tc>
          <w:tcPr>
            <w:tcW w:w="1728" w:type="dxa"/>
          </w:tcPr>
          <w:p w:rsidR="009A3851" w:rsidRDefault="009A3851" w:rsidP="002C6AD4">
            <w:pPr>
              <w:jc w:val="center"/>
            </w:pPr>
            <w:r>
              <w:t>2009</w:t>
            </w:r>
          </w:p>
        </w:tc>
        <w:tc>
          <w:tcPr>
            <w:tcW w:w="4320" w:type="dxa"/>
          </w:tcPr>
          <w:p w:rsidR="009A3851" w:rsidRPr="004E30F1" w:rsidRDefault="009A3851" w:rsidP="00E44477">
            <w:pPr>
              <w:jc w:val="center"/>
            </w:pPr>
            <w:r w:rsidRPr="004E30F1">
              <w:t>Meeting the Needs of the Whole Child in the Classroom</w:t>
            </w:r>
          </w:p>
        </w:tc>
        <w:tc>
          <w:tcPr>
            <w:tcW w:w="3780" w:type="dxa"/>
          </w:tcPr>
          <w:p w:rsidR="009A3851" w:rsidRPr="004E30F1" w:rsidRDefault="009A3851" w:rsidP="00E44477">
            <w:pPr>
              <w:jc w:val="center"/>
            </w:pPr>
            <w:r w:rsidRPr="004E30F1">
              <w:t>Dr. Paige Schulte</w:t>
            </w:r>
          </w:p>
          <w:p w:rsidR="009A3851" w:rsidRPr="004E30F1" w:rsidRDefault="009A3851" w:rsidP="00E44477">
            <w:pPr>
              <w:jc w:val="center"/>
            </w:pPr>
            <w:r w:rsidRPr="004E30F1">
              <w:t>Southeastern Louisiana University</w:t>
            </w:r>
          </w:p>
        </w:tc>
      </w:tr>
      <w:tr w:rsidR="009A3851" w:rsidTr="00487CAF">
        <w:tc>
          <w:tcPr>
            <w:tcW w:w="1728" w:type="dxa"/>
          </w:tcPr>
          <w:p w:rsidR="009A3851" w:rsidRDefault="009A3851" w:rsidP="002C6AD4">
            <w:pPr>
              <w:jc w:val="center"/>
            </w:pPr>
            <w:r>
              <w:t>2009</w:t>
            </w:r>
          </w:p>
        </w:tc>
        <w:tc>
          <w:tcPr>
            <w:tcW w:w="4320" w:type="dxa"/>
          </w:tcPr>
          <w:p w:rsidR="009A3851" w:rsidRPr="004E30F1" w:rsidRDefault="009A3851" w:rsidP="00E44477">
            <w:pPr>
              <w:jc w:val="center"/>
            </w:pPr>
            <w:r w:rsidRPr="004E30F1">
              <w:t>Everybody’s Child: Teacher Preparedness in Times of Crisis and Recovery</w:t>
            </w:r>
          </w:p>
        </w:tc>
        <w:tc>
          <w:tcPr>
            <w:tcW w:w="3780" w:type="dxa"/>
          </w:tcPr>
          <w:p w:rsidR="009A3851" w:rsidRPr="004E30F1" w:rsidRDefault="009A3851" w:rsidP="00E44477">
            <w:pPr>
              <w:jc w:val="center"/>
            </w:pPr>
            <w:r w:rsidRPr="004E30F1">
              <w:t>Dr. Cynthia Elliott</w:t>
            </w:r>
          </w:p>
          <w:p w:rsidR="009A3851" w:rsidRPr="004E30F1" w:rsidRDefault="009A3851" w:rsidP="00E44477">
            <w:pPr>
              <w:jc w:val="center"/>
            </w:pPr>
            <w:r w:rsidRPr="004E30F1">
              <w:t>Southeastern Louisiana University</w:t>
            </w:r>
          </w:p>
        </w:tc>
      </w:tr>
      <w:tr w:rsidR="009C21A1" w:rsidTr="00487CAF">
        <w:tc>
          <w:tcPr>
            <w:tcW w:w="1728" w:type="dxa"/>
          </w:tcPr>
          <w:p w:rsidR="009C21A1" w:rsidRDefault="009C21A1" w:rsidP="002C6AD4">
            <w:pPr>
              <w:jc w:val="center"/>
            </w:pPr>
            <w:r>
              <w:t>2010</w:t>
            </w:r>
          </w:p>
        </w:tc>
        <w:tc>
          <w:tcPr>
            <w:tcW w:w="4320" w:type="dxa"/>
          </w:tcPr>
          <w:p w:rsidR="009C21A1" w:rsidRDefault="009C21A1" w:rsidP="00AE7DDB">
            <w:pPr>
              <w:jc w:val="center"/>
            </w:pPr>
            <w:r>
              <w:t>Unscrambling the Pieces: An Overview of Autism Spectrum Disorders</w:t>
            </w:r>
          </w:p>
        </w:tc>
        <w:tc>
          <w:tcPr>
            <w:tcW w:w="3780" w:type="dxa"/>
          </w:tcPr>
          <w:p w:rsidR="009C21A1" w:rsidRDefault="009C21A1" w:rsidP="009C21A1">
            <w:pPr>
              <w:jc w:val="center"/>
            </w:pPr>
            <w:r w:rsidRPr="004E30F1">
              <w:t>Dr. Christine Ogilvie</w:t>
            </w:r>
          </w:p>
        </w:tc>
      </w:tr>
      <w:tr w:rsidR="009C21A1" w:rsidTr="00487CAF">
        <w:tc>
          <w:tcPr>
            <w:tcW w:w="1728" w:type="dxa"/>
          </w:tcPr>
          <w:p w:rsidR="009C21A1" w:rsidRDefault="009C21A1" w:rsidP="002C6AD4">
            <w:pPr>
              <w:jc w:val="center"/>
            </w:pPr>
            <w:r>
              <w:t>2010</w:t>
            </w:r>
          </w:p>
        </w:tc>
        <w:tc>
          <w:tcPr>
            <w:tcW w:w="4320" w:type="dxa"/>
          </w:tcPr>
          <w:p w:rsidR="009C21A1" w:rsidRDefault="009C21A1" w:rsidP="00AE7DDB">
            <w:pPr>
              <w:jc w:val="center"/>
            </w:pPr>
            <w:r>
              <w:t>What Children Learn about Race from Caregivers at Home &amp; School: A Multicultural Lesson</w:t>
            </w:r>
          </w:p>
        </w:tc>
        <w:tc>
          <w:tcPr>
            <w:tcW w:w="3780" w:type="dxa"/>
          </w:tcPr>
          <w:p w:rsidR="009C21A1" w:rsidRDefault="009C21A1" w:rsidP="009C21A1">
            <w:pPr>
              <w:jc w:val="center"/>
            </w:pPr>
            <w:r>
              <w:t>Dr. Celina Echols</w:t>
            </w:r>
          </w:p>
          <w:p w:rsidR="009C21A1" w:rsidRDefault="009C21A1" w:rsidP="009C21A1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2011</w:t>
            </w:r>
          </w:p>
        </w:tc>
        <w:tc>
          <w:tcPr>
            <w:tcW w:w="4320" w:type="dxa"/>
          </w:tcPr>
          <w:p w:rsidR="00FE53DB" w:rsidRPr="002A6118" w:rsidRDefault="00FE53DB" w:rsidP="005D7EA3">
            <w:pPr>
              <w:jc w:val="center"/>
              <w:rPr>
                <w:highlight w:val="yellow"/>
              </w:rPr>
            </w:pPr>
            <w:r w:rsidRPr="002A6118">
              <w:t>Individualized Education Plan</w:t>
            </w:r>
            <w:r>
              <w:t>s: Meeting the Needs of All Learners</w:t>
            </w:r>
          </w:p>
        </w:tc>
        <w:tc>
          <w:tcPr>
            <w:tcW w:w="3780" w:type="dxa"/>
          </w:tcPr>
          <w:p w:rsidR="00FE53DB" w:rsidRDefault="00FE53DB" w:rsidP="005D7EA3">
            <w:pPr>
              <w:jc w:val="center"/>
            </w:pPr>
            <w:r>
              <w:t xml:space="preserve">Dr. Nicki </w:t>
            </w:r>
            <w:proofErr w:type="spellStart"/>
            <w:r>
              <w:t>Anzelmo</w:t>
            </w:r>
            <w:proofErr w:type="spellEnd"/>
            <w:r>
              <w:t>-Skelton</w:t>
            </w:r>
          </w:p>
          <w:p w:rsidR="00FE53DB" w:rsidRDefault="00FE53DB" w:rsidP="005D7EA3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2011</w:t>
            </w:r>
          </w:p>
        </w:tc>
        <w:tc>
          <w:tcPr>
            <w:tcW w:w="4320" w:type="dxa"/>
          </w:tcPr>
          <w:p w:rsidR="00FE53DB" w:rsidRDefault="00FE53DB" w:rsidP="00E44477">
            <w:pPr>
              <w:jc w:val="center"/>
            </w:pPr>
            <w:r>
              <w:t>What Children Learn about Race from Caregivers at Home &amp; School: A Multicultural Lesson</w:t>
            </w:r>
          </w:p>
        </w:tc>
        <w:tc>
          <w:tcPr>
            <w:tcW w:w="3780" w:type="dxa"/>
          </w:tcPr>
          <w:p w:rsidR="00FE53DB" w:rsidRDefault="00FE53DB" w:rsidP="00E44477">
            <w:pPr>
              <w:jc w:val="center"/>
            </w:pPr>
            <w:r>
              <w:t>Dr. Celina Echols</w:t>
            </w:r>
          </w:p>
          <w:p w:rsidR="00FE53DB" w:rsidRDefault="00FE53DB" w:rsidP="00E44477">
            <w:pPr>
              <w:jc w:val="center"/>
            </w:pPr>
            <w:r>
              <w:t>Southeastern Louisiana University</w:t>
            </w:r>
          </w:p>
        </w:tc>
      </w:tr>
      <w:tr w:rsidR="003B723B" w:rsidTr="00487CAF">
        <w:tc>
          <w:tcPr>
            <w:tcW w:w="1728" w:type="dxa"/>
          </w:tcPr>
          <w:p w:rsidR="003B723B" w:rsidRDefault="003B723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3B723B" w:rsidRPr="00703761" w:rsidRDefault="003B723B" w:rsidP="00AE7DDB">
            <w:pPr>
              <w:jc w:val="center"/>
            </w:pPr>
            <w:r>
              <w:t>Diversity in Louisiana</w:t>
            </w:r>
          </w:p>
        </w:tc>
        <w:tc>
          <w:tcPr>
            <w:tcW w:w="3780" w:type="dxa"/>
          </w:tcPr>
          <w:p w:rsidR="003B723B" w:rsidRDefault="003B723B" w:rsidP="00AE4622">
            <w:pPr>
              <w:jc w:val="center"/>
            </w:pPr>
            <w:r>
              <w:t>Dr. Paul Goodwin</w:t>
            </w:r>
          </w:p>
          <w:p w:rsidR="003B723B" w:rsidRDefault="003B723B" w:rsidP="00AE4622">
            <w:pPr>
              <w:jc w:val="center"/>
            </w:pPr>
            <w:r>
              <w:t>Southeastern Louisiana University</w:t>
            </w:r>
          </w:p>
        </w:tc>
      </w:tr>
      <w:tr w:rsidR="003B723B" w:rsidTr="00487CAF">
        <w:tc>
          <w:tcPr>
            <w:tcW w:w="1728" w:type="dxa"/>
          </w:tcPr>
          <w:p w:rsidR="003B723B" w:rsidRDefault="003B723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3B723B" w:rsidRPr="002A6118" w:rsidRDefault="003B723B" w:rsidP="00E44477">
            <w:pPr>
              <w:jc w:val="center"/>
              <w:rPr>
                <w:highlight w:val="yellow"/>
              </w:rPr>
            </w:pPr>
            <w:r w:rsidRPr="00AE4622">
              <w:t>Bullying: Everyone’s Problem</w:t>
            </w:r>
          </w:p>
        </w:tc>
        <w:tc>
          <w:tcPr>
            <w:tcW w:w="3780" w:type="dxa"/>
          </w:tcPr>
          <w:p w:rsidR="003B723B" w:rsidRDefault="003B723B" w:rsidP="00E44477">
            <w:pPr>
              <w:jc w:val="center"/>
            </w:pPr>
            <w:r>
              <w:t>Dr. Paige Schulte &amp; Dr. Celina Echols</w:t>
            </w:r>
          </w:p>
          <w:p w:rsidR="003B723B" w:rsidRDefault="003B723B" w:rsidP="00E44477">
            <w:pPr>
              <w:jc w:val="center"/>
            </w:pPr>
            <w:r>
              <w:t>Southeastern Louisiana University</w:t>
            </w:r>
          </w:p>
        </w:tc>
      </w:tr>
      <w:tr w:rsidR="003B723B" w:rsidTr="00487CAF">
        <w:tc>
          <w:tcPr>
            <w:tcW w:w="1728" w:type="dxa"/>
          </w:tcPr>
          <w:p w:rsidR="003B723B" w:rsidRDefault="003B723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3B723B" w:rsidRPr="00703761" w:rsidRDefault="003B723B" w:rsidP="003B723B">
            <w:pPr>
              <w:jc w:val="center"/>
            </w:pPr>
            <w:r>
              <w:t>Needs and Interventions for Children with Incarcerated Parents</w:t>
            </w:r>
          </w:p>
        </w:tc>
        <w:tc>
          <w:tcPr>
            <w:tcW w:w="3780" w:type="dxa"/>
          </w:tcPr>
          <w:p w:rsidR="003B723B" w:rsidRDefault="003B723B" w:rsidP="00AE4622">
            <w:pPr>
              <w:jc w:val="center"/>
            </w:pPr>
            <w:r>
              <w:t>Dr. Laura Fazio-Griffith &amp; Dr. June Williams</w:t>
            </w:r>
          </w:p>
          <w:p w:rsidR="003B723B" w:rsidRDefault="003B723B" w:rsidP="00AE4622">
            <w:pPr>
              <w:jc w:val="center"/>
            </w:pPr>
            <w:r>
              <w:t>Southeastern Louisiana University</w:t>
            </w:r>
          </w:p>
        </w:tc>
      </w:tr>
      <w:tr w:rsidR="003B723B" w:rsidTr="00487CAF">
        <w:tc>
          <w:tcPr>
            <w:tcW w:w="1728" w:type="dxa"/>
          </w:tcPr>
          <w:p w:rsidR="003B723B" w:rsidRDefault="003B723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3B723B" w:rsidRDefault="003B723B" w:rsidP="003B723B">
            <w:pPr>
              <w:jc w:val="center"/>
            </w:pPr>
            <w:r>
              <w:t>Louisiana’s Revised Child Abuse and Neglect Laws:  the Penn State Legacy</w:t>
            </w:r>
          </w:p>
        </w:tc>
        <w:tc>
          <w:tcPr>
            <w:tcW w:w="3780" w:type="dxa"/>
          </w:tcPr>
          <w:p w:rsidR="003B723B" w:rsidRDefault="003B723B" w:rsidP="00AE4622">
            <w:pPr>
              <w:jc w:val="center"/>
            </w:pPr>
            <w:r>
              <w:t>Dr. Ray Fink</w:t>
            </w:r>
          </w:p>
          <w:p w:rsidR="003B723B" w:rsidRDefault="003B723B" w:rsidP="00AE4622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FE53DB" w:rsidRPr="002A6118" w:rsidRDefault="00FE53DB" w:rsidP="00AE7DDB">
            <w:pPr>
              <w:jc w:val="center"/>
              <w:rPr>
                <w:highlight w:val="yellow"/>
              </w:rPr>
            </w:pPr>
            <w:r w:rsidRPr="00703761">
              <w:t>Resisting Separate But Equal in the Post-Brown Era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>Keith Plessy, Phoebe Ferguson, Brenda Square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FE53DB" w:rsidRPr="00703761" w:rsidRDefault="00FE53DB" w:rsidP="00AE7DDB">
            <w:pPr>
              <w:jc w:val="center"/>
            </w:pPr>
            <w:r>
              <w:t>Stewards of Children through Darkness to Light  (4 per semester)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>Rob Carlisle, Debbie Richardson – Child Advocacy Services</w:t>
            </w:r>
          </w:p>
          <w:p w:rsidR="00FE53DB" w:rsidRDefault="00FE53DB" w:rsidP="00AE4622">
            <w:pPr>
              <w:jc w:val="center"/>
            </w:pPr>
            <w:r>
              <w:t xml:space="preserve"> Dr. June Williams - Southeastern</w:t>
            </w:r>
          </w:p>
        </w:tc>
      </w:tr>
      <w:tr w:rsidR="003B723B" w:rsidTr="00487CAF">
        <w:tc>
          <w:tcPr>
            <w:tcW w:w="1728" w:type="dxa"/>
          </w:tcPr>
          <w:p w:rsidR="003B723B" w:rsidRDefault="003B723B" w:rsidP="002C6AD4">
            <w:pPr>
              <w:jc w:val="center"/>
            </w:pPr>
            <w:r>
              <w:t>2012</w:t>
            </w:r>
          </w:p>
        </w:tc>
        <w:tc>
          <w:tcPr>
            <w:tcW w:w="4320" w:type="dxa"/>
          </w:tcPr>
          <w:p w:rsidR="003B723B" w:rsidRDefault="003B723B" w:rsidP="00AE7DDB">
            <w:pPr>
              <w:jc w:val="center"/>
            </w:pPr>
            <w:r>
              <w:t>Special Education Law in Louisiana</w:t>
            </w:r>
          </w:p>
        </w:tc>
        <w:tc>
          <w:tcPr>
            <w:tcW w:w="3780" w:type="dxa"/>
          </w:tcPr>
          <w:p w:rsidR="003B723B" w:rsidRDefault="003B723B" w:rsidP="00AE4622">
            <w:pPr>
              <w:jc w:val="center"/>
            </w:pPr>
            <w:r>
              <w:t xml:space="preserve">Dr. Jennifer </w:t>
            </w:r>
            <w:proofErr w:type="spellStart"/>
            <w:r>
              <w:t>Sughrue</w:t>
            </w:r>
            <w:proofErr w:type="spellEnd"/>
          </w:p>
          <w:p w:rsidR="00C40DE8" w:rsidRDefault="003B723B" w:rsidP="00C40DE8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E44477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Default="00FE53DB" w:rsidP="00E44477">
            <w:pPr>
              <w:jc w:val="center"/>
            </w:pPr>
            <w:r>
              <w:t>English as a Second Language: Informational Meeting (2 per semester)</w:t>
            </w:r>
          </w:p>
        </w:tc>
        <w:tc>
          <w:tcPr>
            <w:tcW w:w="3780" w:type="dxa"/>
          </w:tcPr>
          <w:p w:rsidR="00FE53DB" w:rsidRDefault="00FE53DB" w:rsidP="00E44477">
            <w:pPr>
              <w:jc w:val="center"/>
            </w:pPr>
            <w:r>
              <w:t>Dr. Cynthia Elliott</w:t>
            </w:r>
          </w:p>
          <w:p w:rsidR="00FE53DB" w:rsidRDefault="00FE53DB" w:rsidP="00E44477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Pr="002A6118" w:rsidRDefault="00FE53DB" w:rsidP="00AE7DDB">
            <w:pPr>
              <w:jc w:val="center"/>
              <w:rPr>
                <w:highlight w:val="yellow"/>
              </w:rPr>
            </w:pPr>
            <w:r w:rsidRPr="002A6118">
              <w:t>Individualized Education Plan</w:t>
            </w:r>
            <w:r>
              <w:t>s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 xml:space="preserve">Dr. Nicki </w:t>
            </w:r>
            <w:proofErr w:type="spellStart"/>
            <w:r>
              <w:t>Anzelmo</w:t>
            </w:r>
            <w:proofErr w:type="spellEnd"/>
            <w:r>
              <w:t>-Skelton</w:t>
            </w:r>
          </w:p>
          <w:p w:rsidR="00FE53DB" w:rsidRDefault="00FE53DB" w:rsidP="00AE4622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Pr="002A6118" w:rsidRDefault="00FE53DB" w:rsidP="00AE7DDB">
            <w:pPr>
              <w:jc w:val="center"/>
              <w:rPr>
                <w:highlight w:val="yellow"/>
              </w:rPr>
            </w:pPr>
            <w:r w:rsidRPr="00AE4622">
              <w:t>Bullying: Everyone’s Problem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>Dr. Paige Schulte</w:t>
            </w:r>
            <w:r w:rsidR="003B723B">
              <w:t xml:space="preserve"> </w:t>
            </w:r>
          </w:p>
          <w:p w:rsidR="00FE53DB" w:rsidRDefault="00FE53DB" w:rsidP="00AE4622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Pr="00703761" w:rsidRDefault="00FE53DB" w:rsidP="00E44477">
            <w:pPr>
              <w:jc w:val="center"/>
            </w:pPr>
            <w:r>
              <w:t>Stewards of Children through Darkness to Light  (4 per semester)</w:t>
            </w:r>
          </w:p>
        </w:tc>
        <w:tc>
          <w:tcPr>
            <w:tcW w:w="3780" w:type="dxa"/>
          </w:tcPr>
          <w:p w:rsidR="00FE53DB" w:rsidRDefault="00FE53DB" w:rsidP="00E44477">
            <w:pPr>
              <w:jc w:val="center"/>
            </w:pPr>
            <w:r>
              <w:t>Rob Carlisle, Debbie Richardson – Child Advocacy Services</w:t>
            </w:r>
          </w:p>
          <w:p w:rsidR="00FE53DB" w:rsidRDefault="00FE53DB" w:rsidP="00E44477">
            <w:pPr>
              <w:jc w:val="center"/>
            </w:pPr>
            <w:r>
              <w:t xml:space="preserve"> Dr. June Williams - Southeastern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Pr="00AE4622" w:rsidRDefault="00FE53DB" w:rsidP="00AE7DDB">
            <w:pPr>
              <w:jc w:val="center"/>
            </w:pPr>
            <w:r>
              <w:t>Meet Hayward, Canine Companion: Powerful Paws for Children (Session 1)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>Ms. Lori Banks</w:t>
            </w:r>
          </w:p>
          <w:p w:rsidR="00FE53DB" w:rsidRDefault="00FE53DB" w:rsidP="00AE4622">
            <w:pPr>
              <w:jc w:val="center"/>
            </w:pPr>
            <w:r>
              <w:t>Children’s Advocacy Center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4320" w:type="dxa"/>
          </w:tcPr>
          <w:p w:rsidR="00FE53DB" w:rsidRPr="00AE4622" w:rsidRDefault="00FE53DB" w:rsidP="002C6AD4">
            <w:pPr>
              <w:jc w:val="center"/>
            </w:pPr>
            <w:r>
              <w:t>Meet Hayward, Canine Companion: Powerful Paws for Children (Session 2)</w:t>
            </w:r>
          </w:p>
        </w:tc>
        <w:tc>
          <w:tcPr>
            <w:tcW w:w="3780" w:type="dxa"/>
          </w:tcPr>
          <w:p w:rsidR="00FE53DB" w:rsidRDefault="00FE53DB" w:rsidP="002C6AD4">
            <w:pPr>
              <w:jc w:val="center"/>
            </w:pPr>
            <w:r>
              <w:t>Ms. Lori Banks</w:t>
            </w:r>
          </w:p>
          <w:p w:rsidR="00FE53DB" w:rsidRDefault="00FE53DB" w:rsidP="002C6AD4">
            <w:pPr>
              <w:jc w:val="center"/>
            </w:pPr>
            <w:r>
              <w:t>Children’s Advocacy Center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2013</w:t>
            </w:r>
          </w:p>
        </w:tc>
        <w:tc>
          <w:tcPr>
            <w:tcW w:w="4320" w:type="dxa"/>
          </w:tcPr>
          <w:p w:rsidR="00FE53DB" w:rsidRDefault="00FE53DB" w:rsidP="00AE7DDB">
            <w:pPr>
              <w:jc w:val="center"/>
            </w:pPr>
            <w:r>
              <w:t>Navigating the IEP</w:t>
            </w:r>
          </w:p>
        </w:tc>
        <w:tc>
          <w:tcPr>
            <w:tcW w:w="3780" w:type="dxa"/>
          </w:tcPr>
          <w:p w:rsidR="00FE53DB" w:rsidRDefault="00FE53DB" w:rsidP="00AE4622">
            <w:pPr>
              <w:jc w:val="center"/>
            </w:pPr>
            <w:r>
              <w:t>Ms. Hannah Rucker</w:t>
            </w:r>
          </w:p>
          <w:p w:rsidR="00FE53DB" w:rsidRDefault="00FE53DB" w:rsidP="00AE4622">
            <w:pPr>
              <w:jc w:val="center"/>
            </w:pPr>
            <w:r>
              <w:t>Families Helping Families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 xml:space="preserve">2013 </w:t>
            </w:r>
          </w:p>
        </w:tc>
        <w:tc>
          <w:tcPr>
            <w:tcW w:w="4320" w:type="dxa"/>
          </w:tcPr>
          <w:p w:rsidR="00FE53DB" w:rsidRPr="002A6118" w:rsidRDefault="00FE53DB" w:rsidP="00703761">
            <w:pPr>
              <w:jc w:val="center"/>
              <w:rPr>
                <w:highlight w:val="yellow"/>
              </w:rPr>
            </w:pPr>
            <w:r w:rsidRPr="00703761">
              <w:t>Milestones in Education: Through My Eyes-The Ruby Bridges Story</w:t>
            </w:r>
          </w:p>
        </w:tc>
        <w:tc>
          <w:tcPr>
            <w:tcW w:w="3780" w:type="dxa"/>
          </w:tcPr>
          <w:p w:rsidR="00FE53DB" w:rsidRDefault="00FE53DB" w:rsidP="009C21A1">
            <w:pPr>
              <w:jc w:val="center"/>
            </w:pPr>
            <w:r>
              <w:t xml:space="preserve">Ruby Bridges </w:t>
            </w:r>
          </w:p>
          <w:p w:rsidR="00450C05" w:rsidRDefault="00450C05" w:rsidP="009C21A1">
            <w:pPr>
              <w:jc w:val="center"/>
            </w:pPr>
            <w:r>
              <w:t>Ruby Bridges Foundation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E44477">
            <w:pPr>
              <w:jc w:val="center"/>
            </w:pPr>
            <w:r>
              <w:t>2014</w:t>
            </w:r>
          </w:p>
        </w:tc>
        <w:tc>
          <w:tcPr>
            <w:tcW w:w="4320" w:type="dxa"/>
          </w:tcPr>
          <w:p w:rsidR="00FE53DB" w:rsidRPr="00703761" w:rsidRDefault="00FE53DB" w:rsidP="00E44477">
            <w:pPr>
              <w:jc w:val="center"/>
            </w:pPr>
            <w:r>
              <w:t>Stewards of Children through Darkness to Light  (4 per semester)</w:t>
            </w:r>
          </w:p>
        </w:tc>
        <w:tc>
          <w:tcPr>
            <w:tcW w:w="3780" w:type="dxa"/>
          </w:tcPr>
          <w:p w:rsidR="00FE53DB" w:rsidRDefault="00FE53DB" w:rsidP="00E44477">
            <w:pPr>
              <w:jc w:val="center"/>
            </w:pPr>
            <w:r>
              <w:t>Rob Carlisle, Debbie Richardson – Child Advocacy Services</w:t>
            </w:r>
          </w:p>
          <w:p w:rsidR="00FE53DB" w:rsidRDefault="00FE53DB" w:rsidP="00E44477">
            <w:pPr>
              <w:jc w:val="center"/>
            </w:pPr>
            <w:r>
              <w:t xml:space="preserve"> Dr. June Williams - Southeastern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2014</w:t>
            </w:r>
          </w:p>
        </w:tc>
        <w:tc>
          <w:tcPr>
            <w:tcW w:w="4320" w:type="dxa"/>
          </w:tcPr>
          <w:p w:rsidR="00FE53DB" w:rsidRDefault="00FE53DB" w:rsidP="00AE7DDB">
            <w:pPr>
              <w:jc w:val="center"/>
            </w:pPr>
            <w:r>
              <w:t>Differentiation: Recognizing &amp; Honoring the Learner</w:t>
            </w:r>
          </w:p>
        </w:tc>
        <w:tc>
          <w:tcPr>
            <w:tcW w:w="3780" w:type="dxa"/>
          </w:tcPr>
          <w:p w:rsidR="00FE53DB" w:rsidRDefault="00FE53DB" w:rsidP="009C21A1">
            <w:pPr>
              <w:jc w:val="center"/>
            </w:pPr>
            <w:r>
              <w:t xml:space="preserve">Dr. Susan </w:t>
            </w:r>
            <w:proofErr w:type="spellStart"/>
            <w:r>
              <w:t>Zimlich</w:t>
            </w:r>
            <w:proofErr w:type="spellEnd"/>
          </w:p>
          <w:p w:rsidR="00FE53DB" w:rsidRDefault="00FE53DB" w:rsidP="009C21A1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2014</w:t>
            </w:r>
          </w:p>
        </w:tc>
        <w:tc>
          <w:tcPr>
            <w:tcW w:w="4320" w:type="dxa"/>
          </w:tcPr>
          <w:p w:rsidR="00FE53DB" w:rsidRDefault="00FE53DB" w:rsidP="00AE7DDB">
            <w:pPr>
              <w:jc w:val="center"/>
            </w:pPr>
            <w:r>
              <w:t>English as a Second Language: Informational Meeting (2 per semester)</w:t>
            </w:r>
          </w:p>
        </w:tc>
        <w:tc>
          <w:tcPr>
            <w:tcW w:w="3780" w:type="dxa"/>
          </w:tcPr>
          <w:p w:rsidR="00FE53DB" w:rsidRDefault="00FE53DB" w:rsidP="009C21A1">
            <w:pPr>
              <w:jc w:val="center"/>
            </w:pPr>
            <w:r>
              <w:t>Dr. Cynthia Elliott</w:t>
            </w:r>
          </w:p>
          <w:p w:rsidR="00FE53DB" w:rsidRDefault="00FE53DB" w:rsidP="009C21A1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2014</w:t>
            </w:r>
          </w:p>
        </w:tc>
        <w:tc>
          <w:tcPr>
            <w:tcW w:w="4320" w:type="dxa"/>
          </w:tcPr>
          <w:p w:rsidR="00FE53DB" w:rsidRDefault="00FE53DB" w:rsidP="00AE7DDB">
            <w:pPr>
              <w:jc w:val="center"/>
            </w:pPr>
            <w:r>
              <w:t>Mock IEP Professional Development</w:t>
            </w:r>
          </w:p>
        </w:tc>
        <w:tc>
          <w:tcPr>
            <w:tcW w:w="3780" w:type="dxa"/>
          </w:tcPr>
          <w:p w:rsidR="00FE53DB" w:rsidRDefault="00FE53DB" w:rsidP="009C21A1">
            <w:pPr>
              <w:jc w:val="center"/>
            </w:pPr>
            <w:r>
              <w:t xml:space="preserve">Dr. </w:t>
            </w:r>
            <w:proofErr w:type="spellStart"/>
            <w:r>
              <w:t>Gerlinde</w:t>
            </w:r>
            <w:proofErr w:type="spellEnd"/>
            <w:r>
              <w:t xml:space="preserve"> </w:t>
            </w:r>
            <w:proofErr w:type="spellStart"/>
            <w:r>
              <w:t>Beckers</w:t>
            </w:r>
            <w:proofErr w:type="spellEnd"/>
            <w:r>
              <w:t>, Dr. Colleen Klein-Ezell, and Ms. Michele Mayberry</w:t>
            </w:r>
          </w:p>
          <w:p w:rsidR="00FE53DB" w:rsidRDefault="00FE53DB" w:rsidP="00487CAF">
            <w:pPr>
              <w:jc w:val="center"/>
            </w:pPr>
            <w:r>
              <w:t>Southeastern Louisiana University</w:t>
            </w:r>
          </w:p>
        </w:tc>
      </w:tr>
      <w:tr w:rsidR="00FE53DB" w:rsidTr="00487CAF">
        <w:tc>
          <w:tcPr>
            <w:tcW w:w="1728" w:type="dxa"/>
          </w:tcPr>
          <w:p w:rsidR="00FE53DB" w:rsidRDefault="00FE53DB" w:rsidP="002C6AD4">
            <w:pPr>
              <w:jc w:val="center"/>
            </w:pPr>
            <w:r>
              <w:t>2014</w:t>
            </w:r>
          </w:p>
        </w:tc>
        <w:tc>
          <w:tcPr>
            <w:tcW w:w="4320" w:type="dxa"/>
          </w:tcPr>
          <w:p w:rsidR="00FE53DB" w:rsidRDefault="00FE53DB" w:rsidP="00AE7DDB">
            <w:pPr>
              <w:jc w:val="center"/>
            </w:pPr>
            <w:r>
              <w:t>Unwrapping the Gift of Gifted and Talented Education</w:t>
            </w:r>
          </w:p>
        </w:tc>
        <w:tc>
          <w:tcPr>
            <w:tcW w:w="3780" w:type="dxa"/>
          </w:tcPr>
          <w:p w:rsidR="00FE53DB" w:rsidRDefault="00FE53DB" w:rsidP="009C21A1">
            <w:pPr>
              <w:jc w:val="center"/>
            </w:pPr>
            <w:r>
              <w:t xml:space="preserve">Dr. Susan </w:t>
            </w:r>
            <w:proofErr w:type="spellStart"/>
            <w:r>
              <w:t>Zimlich</w:t>
            </w:r>
            <w:proofErr w:type="spellEnd"/>
            <w:r>
              <w:t xml:space="preserve"> </w:t>
            </w:r>
          </w:p>
          <w:p w:rsidR="00FE53DB" w:rsidRDefault="00FE53DB" w:rsidP="009C21A1">
            <w:pPr>
              <w:jc w:val="center"/>
            </w:pPr>
            <w:r>
              <w:t>Southeastern Louisiana University</w:t>
            </w:r>
          </w:p>
        </w:tc>
      </w:tr>
    </w:tbl>
    <w:p w:rsidR="00AE7DDB" w:rsidRDefault="00AE7DDB"/>
    <w:sectPr w:rsidR="00AE7DDB" w:rsidSect="0093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2E1"/>
    <w:multiLevelType w:val="hybridMultilevel"/>
    <w:tmpl w:val="9516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A8E"/>
    <w:multiLevelType w:val="hybridMultilevel"/>
    <w:tmpl w:val="69F41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DB"/>
    <w:rsid w:val="001002CD"/>
    <w:rsid w:val="0011559C"/>
    <w:rsid w:val="00180E51"/>
    <w:rsid w:val="0018588D"/>
    <w:rsid w:val="001D2B4C"/>
    <w:rsid w:val="0027206C"/>
    <w:rsid w:val="002930E0"/>
    <w:rsid w:val="002A6118"/>
    <w:rsid w:val="00370F51"/>
    <w:rsid w:val="003B723B"/>
    <w:rsid w:val="003F715E"/>
    <w:rsid w:val="00425BC2"/>
    <w:rsid w:val="00450C05"/>
    <w:rsid w:val="00487CAF"/>
    <w:rsid w:val="004E30F1"/>
    <w:rsid w:val="00517BC9"/>
    <w:rsid w:val="0053786A"/>
    <w:rsid w:val="006324CF"/>
    <w:rsid w:val="00703761"/>
    <w:rsid w:val="00715D29"/>
    <w:rsid w:val="007849E1"/>
    <w:rsid w:val="007A409A"/>
    <w:rsid w:val="007A5510"/>
    <w:rsid w:val="0083798F"/>
    <w:rsid w:val="00840A89"/>
    <w:rsid w:val="00846BBA"/>
    <w:rsid w:val="0087478B"/>
    <w:rsid w:val="00893B01"/>
    <w:rsid w:val="00927F9B"/>
    <w:rsid w:val="00934E6F"/>
    <w:rsid w:val="00945254"/>
    <w:rsid w:val="009A3851"/>
    <w:rsid w:val="009C21A1"/>
    <w:rsid w:val="009E073E"/>
    <w:rsid w:val="00A30C80"/>
    <w:rsid w:val="00A93CCC"/>
    <w:rsid w:val="00AE4622"/>
    <w:rsid w:val="00AE7DDB"/>
    <w:rsid w:val="00B11DED"/>
    <w:rsid w:val="00B56BB2"/>
    <w:rsid w:val="00C40DE8"/>
    <w:rsid w:val="00CE588B"/>
    <w:rsid w:val="00CE5F4A"/>
    <w:rsid w:val="00E00C45"/>
    <w:rsid w:val="00F0622F"/>
    <w:rsid w:val="00FD23AF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Kumar</dc:creator>
  <cp:lastModifiedBy>UserSELU</cp:lastModifiedBy>
  <cp:revision>2</cp:revision>
  <cp:lastPrinted>2014-06-26T21:16:00Z</cp:lastPrinted>
  <dcterms:created xsi:type="dcterms:W3CDTF">2014-06-26T22:18:00Z</dcterms:created>
  <dcterms:modified xsi:type="dcterms:W3CDTF">2014-06-26T22:18:00Z</dcterms:modified>
</cp:coreProperties>
</file>