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A0C" w:rsidRPr="00F32E2F" w:rsidRDefault="00911A0C" w:rsidP="00911A0C">
      <w:pPr>
        <w:spacing w:after="200" w:line="276" w:lineRule="auto"/>
        <w:rPr>
          <w:rFonts w:ascii="Arial" w:hAnsi="Arial" w:cs="Arial"/>
          <w:color w:val="006648"/>
          <w:sz w:val="28"/>
          <w:szCs w:val="28"/>
        </w:rPr>
      </w:pPr>
      <w:bookmarkStart w:id="0" w:name="_GoBack"/>
      <w:bookmarkEnd w:id="0"/>
      <w:r w:rsidRPr="00F32E2F">
        <w:rPr>
          <w:rFonts w:ascii="Arial" w:hAnsi="Arial" w:cs="Arial"/>
          <w:b/>
          <w:bCs/>
          <w:color w:val="006648"/>
          <w:sz w:val="28"/>
          <w:szCs w:val="28"/>
        </w:rPr>
        <w:t>X. ASSESSMENT</w:t>
      </w:r>
    </w:p>
    <w:p w:rsidR="00911A0C" w:rsidRPr="00981845" w:rsidRDefault="00911A0C" w:rsidP="00911A0C">
      <w:pPr>
        <w:widowControl w:val="0"/>
        <w:rPr>
          <w:rFonts w:ascii="Arial" w:hAnsi="Arial" w:cs="Arial"/>
          <w:b/>
          <w:bCs/>
          <w:color w:val="D4AC02"/>
        </w:rPr>
      </w:pPr>
      <w:r w:rsidRPr="00981845">
        <w:rPr>
          <w:rFonts w:ascii="Arial" w:hAnsi="Arial" w:cs="Arial"/>
          <w:b/>
          <w:bCs/>
          <w:color w:val="D4AC02"/>
        </w:rPr>
        <w:t>OVERVIEW</w:t>
      </w:r>
    </w:p>
    <w:p w:rsidR="00911A0C" w:rsidRDefault="00911A0C" w:rsidP="00911A0C">
      <w:pPr>
        <w:rPr>
          <w:rFonts w:ascii="Arial" w:hAnsi="Arial" w:cs="Arial"/>
          <w:sz w:val="22"/>
          <w:szCs w:val="22"/>
        </w:rPr>
      </w:pPr>
      <w:r w:rsidRPr="00EE45BD">
        <w:rPr>
          <w:rFonts w:ascii="Arial" w:hAnsi="Arial" w:cs="Arial"/>
          <w:sz w:val="22"/>
          <w:szCs w:val="22"/>
        </w:rPr>
        <w:t>In our RWR initiative, Southeastern plans for assessment activities that will have, to borrow a phrase from Catherine Wehlburg, "a long-term, positive impact on the institution" ("Just Right"). In her recent article on outcomes assessment, Wehlburg argues for a balance between </w:t>
      </w:r>
      <w:r w:rsidRPr="00EE45BD">
        <w:rPr>
          <w:rFonts w:ascii="Arial" w:hAnsi="Arial" w:cs="Arial"/>
          <w:i/>
          <w:iCs/>
          <w:sz w:val="22"/>
          <w:szCs w:val="22"/>
        </w:rPr>
        <w:t>not too much</w:t>
      </w:r>
      <w:r w:rsidRPr="00EE45BD">
        <w:rPr>
          <w:rFonts w:ascii="Arial" w:hAnsi="Arial" w:cs="Arial"/>
          <w:sz w:val="22"/>
          <w:szCs w:val="22"/>
        </w:rPr>
        <w:t> and </w:t>
      </w:r>
      <w:r w:rsidRPr="00EE45BD">
        <w:rPr>
          <w:rFonts w:ascii="Arial" w:hAnsi="Arial" w:cs="Arial"/>
          <w:i/>
          <w:iCs/>
          <w:sz w:val="22"/>
          <w:szCs w:val="22"/>
        </w:rPr>
        <w:t>not too little </w:t>
      </w:r>
      <w:r w:rsidRPr="00EE45BD">
        <w:rPr>
          <w:rFonts w:ascii="Arial" w:hAnsi="Arial" w:cs="Arial"/>
          <w:sz w:val="22"/>
          <w:szCs w:val="22"/>
        </w:rPr>
        <w:t>as she advocates for an assessment paradigm that focuses on the teaching/learning process. Such a strategy, says Wehlburg, is "how we improve and enhance teaching and</w:t>
      </w:r>
      <w:r w:rsidRPr="00EE45BD">
        <w:rPr>
          <w:rFonts w:ascii="Arial" w:hAnsi="Arial" w:cs="Arial"/>
          <w:b/>
          <w:bCs/>
          <w:sz w:val="22"/>
          <w:szCs w:val="22"/>
        </w:rPr>
        <w:t> learning</w:t>
      </w:r>
      <w:r w:rsidRPr="00EE45BD">
        <w:rPr>
          <w:rFonts w:ascii="Arial" w:hAnsi="Arial" w:cs="Arial"/>
          <w:sz w:val="22"/>
          <w:szCs w:val="22"/>
        </w:rPr>
        <w:t>" (our emphasis).</w:t>
      </w:r>
    </w:p>
    <w:p w:rsidR="00911A0C" w:rsidRDefault="00911A0C" w:rsidP="00911A0C">
      <w:pPr>
        <w:rPr>
          <w:rFonts w:ascii="Arial" w:hAnsi="Arial" w:cs="Arial"/>
          <w:sz w:val="22"/>
          <w:szCs w:val="22"/>
        </w:rPr>
      </w:pPr>
    </w:p>
    <w:p w:rsidR="00911A0C" w:rsidRPr="001A625F" w:rsidRDefault="00911A0C" w:rsidP="00911A0C">
      <w:pPr>
        <w:rPr>
          <w:rFonts w:ascii="Arial" w:hAnsi="Arial" w:cs="Arial"/>
          <w:sz w:val="22"/>
          <w:szCs w:val="22"/>
        </w:rPr>
      </w:pPr>
      <w:r w:rsidRPr="001A625F">
        <w:rPr>
          <w:rFonts w:ascii="Arial" w:hAnsi="Arial" w:cs="Arial"/>
          <w:sz w:val="22"/>
          <w:szCs w:val="22"/>
        </w:rPr>
        <w:t xml:space="preserve">Southeastern adopted </w:t>
      </w:r>
      <w:r>
        <w:rPr>
          <w:rFonts w:ascii="Arial" w:hAnsi="Arial" w:cs="Arial"/>
          <w:color w:val="222222"/>
          <w:sz w:val="22"/>
          <w:szCs w:val="22"/>
          <w:shd w:val="clear" w:color="auto" w:fill="FFFFFF"/>
        </w:rPr>
        <w:t xml:space="preserve">WeaveONLINE® </w:t>
      </w:r>
      <w:r w:rsidRPr="001A625F">
        <w:rPr>
          <w:rFonts w:ascii="Arial" w:hAnsi="Arial" w:cs="Arial"/>
          <w:sz w:val="22"/>
          <w:szCs w:val="22"/>
        </w:rPr>
        <w:t xml:space="preserve">software for program assessment and planning in 2011. Since then, much time and effort has gone into developing and using this information system for purposes of cultivating institutional effectiveness. </w:t>
      </w:r>
      <w:r>
        <w:rPr>
          <w:rFonts w:ascii="Arial" w:hAnsi="Arial" w:cs="Arial"/>
          <w:sz w:val="22"/>
          <w:szCs w:val="22"/>
        </w:rPr>
        <w:t>Concurrent to this adoption</w:t>
      </w:r>
      <w:r w:rsidRPr="001A625F">
        <w:rPr>
          <w:rFonts w:ascii="Arial" w:hAnsi="Arial" w:cs="Arial"/>
          <w:sz w:val="22"/>
          <w:szCs w:val="22"/>
        </w:rPr>
        <w:t xml:space="preserve">, </w:t>
      </w:r>
      <w:r w:rsidRPr="001A625F">
        <w:rPr>
          <w:rFonts w:ascii="Arial" w:hAnsi="Arial" w:cs="Arial"/>
          <w:color w:val="000000" w:themeColor="text1"/>
          <w:sz w:val="22"/>
          <w:szCs w:val="22"/>
        </w:rPr>
        <w:t xml:space="preserve">the QEP Design Team began developing assessment ideas for multi-dimensional learning in 2013. </w:t>
      </w:r>
      <w:r w:rsidRPr="001A625F">
        <w:rPr>
          <w:rFonts w:ascii="Arial" w:hAnsi="Arial" w:cs="Arial"/>
          <w:sz w:val="22"/>
          <w:szCs w:val="22"/>
        </w:rPr>
        <w:t xml:space="preserve">At its </w:t>
      </w:r>
      <w:r w:rsidRPr="007F785A">
        <w:rPr>
          <w:rFonts w:ascii="Arial" w:hAnsi="Arial" w:cs="Arial"/>
          <w:sz w:val="22"/>
          <w:szCs w:val="22"/>
        </w:rPr>
        <w:t>November 5, 2013</w:t>
      </w:r>
      <w:r w:rsidRPr="001A625F">
        <w:rPr>
          <w:rFonts w:ascii="Arial" w:hAnsi="Arial" w:cs="Arial"/>
          <w:sz w:val="22"/>
          <w:szCs w:val="22"/>
        </w:rPr>
        <w:t xml:space="preserve"> meeting, the team established a subcommittee to discuss methods and performance criteria for measuring the QEP student outcomes. The members of this faculty subcommittee included Colleen Klein-Ezell, Chair; Sheri Hoffman; David Norwood; and Charlotte Humphries. The subcommittee determined that rubrics for evaluating RWR activities should be structured to identify specific characteristics or behaviors while, in another sense, being deliberately broad enough to allow authentic assessment by each program.</w:t>
      </w:r>
    </w:p>
    <w:p w:rsidR="00911A0C" w:rsidRPr="001A625F" w:rsidRDefault="00911A0C" w:rsidP="00911A0C">
      <w:pPr>
        <w:rPr>
          <w:rFonts w:ascii="Arial" w:hAnsi="Arial" w:cs="Arial"/>
          <w:sz w:val="22"/>
          <w:szCs w:val="22"/>
        </w:rPr>
      </w:pPr>
    </w:p>
    <w:p w:rsidR="00911A0C" w:rsidRPr="001A625F" w:rsidRDefault="00911A0C" w:rsidP="00911A0C">
      <w:pPr>
        <w:rPr>
          <w:rFonts w:ascii="Arial" w:hAnsi="Arial" w:cs="Arial"/>
          <w:sz w:val="22"/>
          <w:szCs w:val="22"/>
        </w:rPr>
      </w:pPr>
      <w:r w:rsidRPr="001A625F">
        <w:rPr>
          <w:rFonts w:ascii="Arial" w:hAnsi="Arial" w:cs="Arial"/>
          <w:sz w:val="22"/>
          <w:szCs w:val="22"/>
        </w:rPr>
        <w:t>Next, QEP Co</w:t>
      </w:r>
      <w:r>
        <w:rPr>
          <w:rFonts w:ascii="Arial" w:hAnsi="Arial" w:cs="Arial"/>
          <w:sz w:val="22"/>
          <w:szCs w:val="22"/>
        </w:rPr>
        <w:t>ordinator Jayetta Slawson attende</w:t>
      </w:r>
      <w:r w:rsidRPr="001A625F">
        <w:rPr>
          <w:rFonts w:ascii="Arial" w:hAnsi="Arial" w:cs="Arial"/>
          <w:sz w:val="22"/>
          <w:szCs w:val="22"/>
        </w:rPr>
        <w:t>d an assessment workshop as part of the National Society for Experiential Education Academy held in St. Petersburg, Flo</w:t>
      </w:r>
      <w:r>
        <w:rPr>
          <w:rFonts w:ascii="Arial" w:hAnsi="Arial" w:cs="Arial"/>
          <w:sz w:val="22"/>
          <w:szCs w:val="22"/>
        </w:rPr>
        <w:t>rida, in F</w:t>
      </w:r>
      <w:r w:rsidRPr="001A625F">
        <w:rPr>
          <w:rFonts w:ascii="Arial" w:hAnsi="Arial" w:cs="Arial"/>
          <w:sz w:val="22"/>
          <w:szCs w:val="22"/>
        </w:rPr>
        <w:t>all 2013. Additionally, s</w:t>
      </w:r>
      <w:r>
        <w:rPr>
          <w:rFonts w:ascii="Arial" w:hAnsi="Arial" w:cs="Arial"/>
          <w:sz w:val="22"/>
          <w:szCs w:val="22"/>
        </w:rPr>
        <w:t xml:space="preserve">he </w:t>
      </w:r>
      <w:r w:rsidRPr="001A625F">
        <w:rPr>
          <w:rFonts w:ascii="Arial" w:hAnsi="Arial" w:cs="Arial"/>
          <w:sz w:val="22"/>
          <w:szCs w:val="22"/>
        </w:rPr>
        <w:t xml:space="preserve">attended sessions on assessment at the 2014 SACSCOC tenth annual Institute on Quality Enhancement and Accreditation held in New Orleans, Louisiana. On campus, Dr. Slawson had meetings for assessment advisement and input with Mary White, Professor of Biological Sciences and Chair of the </w:t>
      </w:r>
      <w:r>
        <w:rPr>
          <w:rFonts w:ascii="Arial" w:hAnsi="Arial" w:cs="Arial"/>
          <w:sz w:val="22"/>
          <w:szCs w:val="22"/>
        </w:rPr>
        <w:t xml:space="preserve">University Academic </w:t>
      </w:r>
      <w:r w:rsidRPr="001A625F">
        <w:rPr>
          <w:rFonts w:ascii="Arial" w:hAnsi="Arial" w:cs="Arial"/>
          <w:sz w:val="22"/>
          <w:szCs w:val="22"/>
        </w:rPr>
        <w:t xml:space="preserve">Assessment Committee; and Josie Walker, Assistant Vice President for Institutional Effectiveness. </w:t>
      </w:r>
    </w:p>
    <w:p w:rsidR="00911A0C" w:rsidRPr="001A625F" w:rsidRDefault="00911A0C" w:rsidP="00911A0C">
      <w:pPr>
        <w:rPr>
          <w:rFonts w:ascii="Arial" w:hAnsi="Arial" w:cs="Arial"/>
          <w:sz w:val="22"/>
          <w:szCs w:val="22"/>
        </w:rPr>
      </w:pPr>
    </w:p>
    <w:p w:rsidR="00911A0C" w:rsidRPr="001A625F" w:rsidRDefault="00911A0C" w:rsidP="00911A0C">
      <w:pPr>
        <w:rPr>
          <w:rFonts w:ascii="Arial" w:hAnsi="Arial" w:cs="Arial"/>
          <w:sz w:val="22"/>
          <w:szCs w:val="22"/>
        </w:rPr>
      </w:pPr>
      <w:r w:rsidRPr="001A625F">
        <w:rPr>
          <w:rFonts w:ascii="Arial" w:hAnsi="Arial" w:cs="Arial"/>
          <w:sz w:val="22"/>
          <w:szCs w:val="22"/>
        </w:rPr>
        <w:t>A</w:t>
      </w:r>
      <w:r>
        <w:rPr>
          <w:rFonts w:ascii="Arial" w:hAnsi="Arial" w:cs="Arial"/>
          <w:sz w:val="22"/>
          <w:szCs w:val="22"/>
        </w:rPr>
        <w:t>s a result of these activities and efforts</w:t>
      </w:r>
      <w:r w:rsidRPr="001A625F">
        <w:rPr>
          <w:rFonts w:ascii="Arial" w:hAnsi="Arial" w:cs="Arial"/>
          <w:sz w:val="22"/>
          <w:szCs w:val="22"/>
        </w:rPr>
        <w:t xml:space="preserve">, we have developed </w:t>
      </w:r>
      <w:r>
        <w:rPr>
          <w:rFonts w:ascii="Arial" w:hAnsi="Arial" w:cs="Arial"/>
          <w:sz w:val="22"/>
          <w:szCs w:val="22"/>
        </w:rPr>
        <w:t xml:space="preserve">an </w:t>
      </w:r>
      <w:r w:rsidRPr="001A625F">
        <w:rPr>
          <w:rFonts w:ascii="Arial" w:hAnsi="Arial" w:cs="Arial"/>
          <w:sz w:val="22"/>
          <w:szCs w:val="22"/>
        </w:rPr>
        <w:t>initial experientia</w:t>
      </w:r>
      <w:r>
        <w:rPr>
          <w:rFonts w:ascii="Arial" w:hAnsi="Arial" w:cs="Arial"/>
          <w:sz w:val="22"/>
          <w:szCs w:val="22"/>
        </w:rPr>
        <w:t xml:space="preserve">l-learning assessment plan. </w:t>
      </w:r>
      <w:r w:rsidRPr="001A625F">
        <w:rPr>
          <w:rFonts w:ascii="Arial" w:hAnsi="Arial" w:cs="Arial"/>
          <w:sz w:val="22"/>
          <w:szCs w:val="22"/>
        </w:rPr>
        <w:t xml:space="preserve">Any adjustments will be an outgrowth of patterns that emerge as we implement our RWR campaign. </w:t>
      </w:r>
      <w:r>
        <w:rPr>
          <w:rFonts w:ascii="Arial" w:hAnsi="Arial" w:cs="Arial"/>
          <w:sz w:val="22"/>
          <w:szCs w:val="22"/>
        </w:rPr>
        <w:t>Assessment d</w:t>
      </w:r>
      <w:r w:rsidRPr="001A625F">
        <w:rPr>
          <w:rFonts w:ascii="Arial" w:hAnsi="Arial" w:cs="Arial"/>
          <w:sz w:val="22"/>
          <w:szCs w:val="22"/>
        </w:rPr>
        <w:t xml:space="preserve">ata will be </w:t>
      </w:r>
      <w:r>
        <w:rPr>
          <w:rFonts w:ascii="Arial" w:hAnsi="Arial" w:cs="Arial"/>
          <w:sz w:val="22"/>
          <w:szCs w:val="22"/>
        </w:rPr>
        <w:t xml:space="preserve">collected by the faculty member who is responsible for the RWR experience and </w:t>
      </w:r>
      <w:r w:rsidRPr="001A625F">
        <w:rPr>
          <w:rFonts w:ascii="Arial" w:hAnsi="Arial" w:cs="Arial"/>
          <w:sz w:val="22"/>
          <w:szCs w:val="22"/>
        </w:rPr>
        <w:t>supplied to the Office of Experiential Learning each semester via</w:t>
      </w:r>
      <w:r>
        <w:rPr>
          <w:rFonts w:ascii="Arial" w:hAnsi="Arial" w:cs="Arial"/>
          <w:sz w:val="22"/>
          <w:szCs w:val="22"/>
        </w:rPr>
        <w:t xml:space="preserve"> </w:t>
      </w:r>
      <w:r w:rsidRPr="00B6652D">
        <w:rPr>
          <w:rFonts w:ascii="Arial" w:hAnsi="Arial" w:cs="Arial"/>
          <w:sz w:val="22"/>
          <w:szCs w:val="22"/>
        </w:rPr>
        <w:t>WeaveONLINE®</w:t>
      </w:r>
      <w:r w:rsidRPr="001A625F">
        <w:rPr>
          <w:rFonts w:ascii="Arial" w:hAnsi="Arial" w:cs="Arial"/>
          <w:sz w:val="22"/>
          <w:szCs w:val="22"/>
        </w:rPr>
        <w:t xml:space="preserve">. The QEP Coordinator will create an annual report for distribution to the campus community for reflection and continued growth in our efforts to incorporate experiential learning as an effective strategy for </w:t>
      </w:r>
      <w:r>
        <w:rPr>
          <w:rFonts w:ascii="Arial" w:hAnsi="Arial" w:cs="Arial"/>
          <w:sz w:val="22"/>
          <w:szCs w:val="22"/>
        </w:rPr>
        <w:t>improved student learning</w:t>
      </w:r>
      <w:r w:rsidRPr="001A625F">
        <w:rPr>
          <w:rFonts w:ascii="Arial" w:hAnsi="Arial" w:cs="Arial"/>
          <w:sz w:val="22"/>
          <w:szCs w:val="22"/>
        </w:rPr>
        <w:t>.</w:t>
      </w:r>
    </w:p>
    <w:p w:rsidR="00911A0C" w:rsidRPr="001A625F" w:rsidRDefault="00911A0C" w:rsidP="00911A0C">
      <w:pPr>
        <w:rPr>
          <w:rFonts w:ascii="Arial" w:hAnsi="Arial" w:cs="Arial"/>
          <w:sz w:val="22"/>
          <w:szCs w:val="22"/>
        </w:rPr>
      </w:pPr>
    </w:p>
    <w:p w:rsidR="00911A0C" w:rsidRPr="00981845" w:rsidRDefault="00911A0C" w:rsidP="00911A0C">
      <w:pPr>
        <w:rPr>
          <w:rFonts w:ascii="Arial" w:hAnsi="Arial" w:cs="Arial"/>
          <w:b/>
          <w:bCs/>
          <w:color w:val="D4AC02"/>
        </w:rPr>
      </w:pPr>
      <w:r w:rsidRPr="00981845">
        <w:rPr>
          <w:rFonts w:ascii="Arial" w:hAnsi="Arial" w:cs="Arial"/>
          <w:b/>
          <w:bCs/>
          <w:color w:val="D4AC02"/>
        </w:rPr>
        <w:t>ASSESSMENT STRATEGY</w:t>
      </w:r>
    </w:p>
    <w:p w:rsidR="00911A0C" w:rsidRDefault="00911A0C" w:rsidP="00911A0C">
      <w:pPr>
        <w:rPr>
          <w:rFonts w:ascii="Arial" w:hAnsi="Arial" w:cs="Arial"/>
          <w:sz w:val="22"/>
          <w:szCs w:val="22"/>
        </w:rPr>
      </w:pPr>
      <w:r>
        <w:rPr>
          <w:rFonts w:ascii="Arial" w:hAnsi="Arial" w:cs="Arial"/>
          <w:sz w:val="22"/>
          <w:szCs w:val="22"/>
        </w:rPr>
        <w:t>The assessment strategy developed for the QEP is comprehensive, multi-faceted and flexible. The assessment plan for student learning outcomes includes direct and indirect measures including structured reflections, observed behavior, pre/post surveys and locally-developed rubrics. The assessment of the effectiveness of the QEP at the institutional level will include the National Survey of Student Engagement (NSSE), the University-administered Alumni Survey, and the analysis of data collected for each student learning outcome.</w:t>
      </w:r>
    </w:p>
    <w:p w:rsidR="00911A0C" w:rsidRDefault="00911A0C" w:rsidP="00911A0C">
      <w:pPr>
        <w:rPr>
          <w:rFonts w:ascii="Arial" w:hAnsi="Arial" w:cs="Arial"/>
          <w:sz w:val="22"/>
          <w:szCs w:val="22"/>
        </w:rPr>
      </w:pPr>
    </w:p>
    <w:p w:rsidR="00911A0C" w:rsidRDefault="00911A0C" w:rsidP="00911A0C">
      <w:pPr>
        <w:rPr>
          <w:rFonts w:ascii="Arial" w:hAnsi="Arial" w:cs="Arial"/>
          <w:sz w:val="22"/>
          <w:szCs w:val="22"/>
        </w:rPr>
      </w:pPr>
      <w:r>
        <w:rPr>
          <w:rFonts w:ascii="Arial" w:hAnsi="Arial" w:cs="Arial"/>
          <w:sz w:val="22"/>
          <w:szCs w:val="22"/>
        </w:rPr>
        <w:t>A  h</w:t>
      </w:r>
      <w:r w:rsidRPr="001E6E4B">
        <w:rPr>
          <w:rFonts w:ascii="Arial" w:hAnsi="Arial" w:cs="Arial"/>
          <w:sz w:val="22"/>
          <w:szCs w:val="22"/>
        </w:rPr>
        <w:t xml:space="preserve">olistic </w:t>
      </w:r>
      <w:r>
        <w:rPr>
          <w:rFonts w:ascii="Arial" w:hAnsi="Arial" w:cs="Arial"/>
          <w:sz w:val="22"/>
          <w:szCs w:val="22"/>
        </w:rPr>
        <w:t>Master Rubric was</w:t>
      </w:r>
      <w:r w:rsidRPr="001E6E4B">
        <w:rPr>
          <w:rFonts w:ascii="Arial" w:hAnsi="Arial" w:cs="Arial"/>
          <w:sz w:val="22"/>
          <w:szCs w:val="22"/>
        </w:rPr>
        <w:t xml:space="preserve"> developed by the QEP Assessment subcommittee to identify and assess </w:t>
      </w:r>
      <w:r>
        <w:rPr>
          <w:rFonts w:ascii="Arial" w:hAnsi="Arial" w:cs="Arial"/>
          <w:sz w:val="22"/>
          <w:szCs w:val="22"/>
        </w:rPr>
        <w:t>common characteristics of all R</w:t>
      </w:r>
      <w:r w:rsidRPr="001E6E4B">
        <w:rPr>
          <w:rFonts w:ascii="Arial" w:hAnsi="Arial" w:cs="Arial"/>
          <w:sz w:val="22"/>
          <w:szCs w:val="22"/>
        </w:rPr>
        <w:t>eal</w:t>
      </w:r>
      <w:r>
        <w:rPr>
          <w:rFonts w:ascii="Arial" w:hAnsi="Arial" w:cs="Arial"/>
          <w:sz w:val="22"/>
          <w:szCs w:val="22"/>
        </w:rPr>
        <w:t>-World R</w:t>
      </w:r>
      <w:r w:rsidRPr="001E6E4B">
        <w:rPr>
          <w:rFonts w:ascii="Arial" w:hAnsi="Arial" w:cs="Arial"/>
          <w:sz w:val="22"/>
          <w:szCs w:val="22"/>
        </w:rPr>
        <w:t xml:space="preserve">eady activities while accommodating the variety of discipline-specific activities.  </w:t>
      </w:r>
      <w:r>
        <w:rPr>
          <w:rFonts w:ascii="Arial" w:hAnsi="Arial" w:cs="Arial"/>
          <w:sz w:val="22"/>
          <w:szCs w:val="22"/>
        </w:rPr>
        <w:t xml:space="preserve">Elements of the Master Rubric </w:t>
      </w:r>
      <w:r w:rsidRPr="001E6E4B">
        <w:rPr>
          <w:rFonts w:ascii="Arial" w:eastAsia="Times New Roman" w:hAnsi="Arial" w:cs="Arial"/>
          <w:color w:val="222222"/>
          <w:sz w:val="22"/>
          <w:szCs w:val="22"/>
        </w:rPr>
        <w:t xml:space="preserve">ensure that all students are meeting a common set of expectations </w:t>
      </w:r>
      <w:r w:rsidRPr="001E6E4B">
        <w:rPr>
          <w:rFonts w:ascii="Arial" w:hAnsi="Arial" w:cs="Arial"/>
          <w:sz w:val="22"/>
          <w:szCs w:val="22"/>
        </w:rPr>
        <w:t xml:space="preserve">for each student learning outcome but are deliberately broad to allow for interpretation by the programs that will use them. Faculty at the </w:t>
      </w:r>
      <w:r w:rsidRPr="001E6E4B">
        <w:rPr>
          <w:rFonts w:ascii="Arial" w:hAnsi="Arial" w:cs="Arial"/>
          <w:sz w:val="22"/>
          <w:szCs w:val="22"/>
        </w:rPr>
        <w:lastRenderedPageBreak/>
        <w:t xml:space="preserve">degree program level will use the </w:t>
      </w:r>
      <w:r>
        <w:rPr>
          <w:rFonts w:ascii="Arial" w:hAnsi="Arial" w:cs="Arial"/>
          <w:sz w:val="22"/>
          <w:szCs w:val="22"/>
        </w:rPr>
        <w:t xml:space="preserve">holistic Master Rubric </w:t>
      </w:r>
      <w:r w:rsidRPr="001E6E4B">
        <w:rPr>
          <w:rFonts w:ascii="Arial" w:hAnsi="Arial" w:cs="Arial"/>
          <w:sz w:val="22"/>
          <w:szCs w:val="22"/>
        </w:rPr>
        <w:t xml:space="preserve">to develop </w:t>
      </w:r>
      <w:r>
        <w:rPr>
          <w:rFonts w:ascii="Arial" w:hAnsi="Arial" w:cs="Arial"/>
          <w:sz w:val="22"/>
          <w:szCs w:val="22"/>
        </w:rPr>
        <w:t xml:space="preserve">clearly stated scoring guidelines or </w:t>
      </w:r>
      <w:r w:rsidRPr="001E6E4B">
        <w:rPr>
          <w:rFonts w:ascii="Arial" w:hAnsi="Arial" w:cs="Arial"/>
          <w:sz w:val="22"/>
          <w:szCs w:val="22"/>
        </w:rPr>
        <w:t>analytic rubrics within the discipline to render reliable ratings. It is within these analytic rubrics that programs have individual latitude for meeting the needs and requirements of their specific disciplines.</w:t>
      </w:r>
    </w:p>
    <w:p w:rsidR="00911A0C" w:rsidRDefault="00911A0C" w:rsidP="00911A0C">
      <w:pPr>
        <w:rPr>
          <w:rFonts w:ascii="Arial" w:hAnsi="Arial" w:cs="Arial"/>
          <w:sz w:val="22"/>
          <w:szCs w:val="22"/>
        </w:rPr>
      </w:pPr>
    </w:p>
    <w:p w:rsidR="00911A0C" w:rsidRDefault="00911A0C" w:rsidP="00911A0C">
      <w:pPr>
        <w:rPr>
          <w:rFonts w:ascii="Arial" w:hAnsi="Arial" w:cs="Arial"/>
          <w:sz w:val="22"/>
          <w:szCs w:val="22"/>
        </w:rPr>
      </w:pPr>
      <w:r>
        <w:rPr>
          <w:rFonts w:ascii="Arial" w:hAnsi="Arial" w:cs="Arial"/>
          <w:sz w:val="22"/>
          <w:szCs w:val="22"/>
        </w:rPr>
        <w:t xml:space="preserve">Although participating academic programs will devise experiential-learning opportunities that are authentic to the discipline, assessment practices will include the use of the analytic rubrics developed from the holistic Master Rubric to measure the four QEP student learning outcomes (SLOs) in three areas: the experience, the work and the behavior. </w:t>
      </w:r>
      <w:r w:rsidRPr="001A625F">
        <w:rPr>
          <w:rFonts w:ascii="Arial" w:hAnsi="Arial" w:cs="Arial"/>
          <w:sz w:val="22"/>
          <w:szCs w:val="22"/>
        </w:rPr>
        <w:t>The table below summarizes the direct and indirect measures for assessing each student-learning outcome (SLO)</w:t>
      </w:r>
      <w:r>
        <w:rPr>
          <w:rFonts w:ascii="Arial" w:hAnsi="Arial" w:cs="Arial"/>
          <w:sz w:val="22"/>
          <w:szCs w:val="22"/>
        </w:rPr>
        <w:t xml:space="preserve"> within these three areas and is followed by a more detailed description of the assessment activities.</w:t>
      </w:r>
    </w:p>
    <w:p w:rsidR="00911A0C" w:rsidRDefault="00911A0C" w:rsidP="00911A0C">
      <w:pPr>
        <w:rPr>
          <w:rFonts w:ascii="Arial" w:hAnsi="Arial" w:cs="Arial"/>
          <w:sz w:val="22"/>
          <w:szCs w:val="22"/>
        </w:rPr>
      </w:pPr>
    </w:p>
    <w:tbl>
      <w:tblPr>
        <w:tblStyle w:val="TableGrid"/>
        <w:tblpPr w:leftFromText="187" w:rightFromText="187" w:vertAnchor="text" w:horzAnchor="margin" w:tblpY="1"/>
        <w:tblOverlap w:val="never"/>
        <w:tblW w:w="5000" w:type="pct"/>
        <w:tblLook w:val="04A0" w:firstRow="1" w:lastRow="0" w:firstColumn="1" w:lastColumn="0" w:noHBand="0" w:noVBand="1"/>
      </w:tblPr>
      <w:tblGrid>
        <w:gridCol w:w="2963"/>
        <w:gridCol w:w="3685"/>
        <w:gridCol w:w="629"/>
        <w:gridCol w:w="659"/>
        <w:gridCol w:w="489"/>
        <w:gridCol w:w="429"/>
        <w:gridCol w:w="496"/>
      </w:tblGrid>
      <w:tr w:rsidR="00911A0C" w:rsidRPr="00911A0C" w:rsidTr="00EA6A56">
        <w:trPr>
          <w:cantSplit/>
          <w:trHeight w:val="351"/>
        </w:trPr>
        <w:tc>
          <w:tcPr>
            <w:tcW w:w="5000" w:type="pct"/>
            <w:gridSpan w:val="7"/>
            <w:vAlign w:val="bottom"/>
          </w:tcPr>
          <w:p w:rsidR="00911A0C" w:rsidRPr="00911A0C" w:rsidRDefault="00911A0C" w:rsidP="00EA6A56">
            <w:pPr>
              <w:jc w:val="center"/>
              <w:rPr>
                <w:rFonts w:ascii="Arial" w:hAnsi="Arial" w:cs="Arial"/>
                <w:b/>
                <w:sz w:val="18"/>
                <w:szCs w:val="18"/>
              </w:rPr>
            </w:pPr>
            <w:r w:rsidRPr="00911A0C">
              <w:rPr>
                <w:rFonts w:ascii="Arial" w:hAnsi="Arial" w:cs="Arial"/>
                <w:b/>
                <w:sz w:val="18"/>
                <w:szCs w:val="18"/>
              </w:rPr>
              <w:t>Summary of QEP Assessment Activities</w:t>
            </w:r>
          </w:p>
        </w:tc>
      </w:tr>
      <w:tr w:rsidR="00911A0C" w:rsidRPr="00911A0C" w:rsidTr="00EA6A56">
        <w:trPr>
          <w:cantSplit/>
          <w:trHeight w:val="350"/>
        </w:trPr>
        <w:tc>
          <w:tcPr>
            <w:tcW w:w="1585" w:type="pct"/>
          </w:tcPr>
          <w:p w:rsidR="00911A0C" w:rsidRPr="00911A0C" w:rsidRDefault="00911A0C" w:rsidP="00EA6A56">
            <w:pPr>
              <w:rPr>
                <w:rFonts w:ascii="Arial" w:hAnsi="Arial" w:cs="Arial"/>
                <w:sz w:val="18"/>
                <w:szCs w:val="18"/>
              </w:rPr>
            </w:pPr>
          </w:p>
        </w:tc>
        <w:tc>
          <w:tcPr>
            <w:tcW w:w="1971" w:type="pct"/>
            <w:vAlign w:val="center"/>
          </w:tcPr>
          <w:p w:rsidR="00911A0C" w:rsidRPr="00911A0C" w:rsidRDefault="00911A0C" w:rsidP="00EA6A56">
            <w:pPr>
              <w:rPr>
                <w:rFonts w:ascii="Arial" w:hAnsi="Arial" w:cs="Arial"/>
                <w:sz w:val="18"/>
                <w:szCs w:val="18"/>
              </w:rPr>
            </w:pPr>
          </w:p>
        </w:tc>
        <w:tc>
          <w:tcPr>
            <w:tcW w:w="690" w:type="pct"/>
            <w:gridSpan w:val="2"/>
            <w:shd w:val="clear" w:color="auto" w:fill="00966B"/>
            <w:vAlign w:val="bottom"/>
          </w:tcPr>
          <w:p w:rsidR="00911A0C" w:rsidRPr="00911A0C" w:rsidRDefault="00911A0C" w:rsidP="00EA6A56">
            <w:pPr>
              <w:jc w:val="center"/>
              <w:rPr>
                <w:rFonts w:ascii="Arial" w:hAnsi="Arial" w:cs="Arial"/>
                <w:b/>
                <w:sz w:val="18"/>
                <w:szCs w:val="18"/>
              </w:rPr>
            </w:pPr>
            <w:r w:rsidRPr="00911A0C">
              <w:rPr>
                <w:rFonts w:ascii="Arial" w:hAnsi="Arial" w:cs="Arial"/>
                <w:b/>
                <w:sz w:val="18"/>
                <w:szCs w:val="18"/>
              </w:rPr>
              <w:t>Direct Measures</w:t>
            </w:r>
          </w:p>
        </w:tc>
        <w:tc>
          <w:tcPr>
            <w:tcW w:w="754" w:type="pct"/>
            <w:gridSpan w:val="3"/>
            <w:shd w:val="clear" w:color="auto" w:fill="FFCC66"/>
            <w:vAlign w:val="bottom"/>
          </w:tcPr>
          <w:p w:rsidR="00911A0C" w:rsidRPr="00911A0C" w:rsidRDefault="00911A0C" w:rsidP="00EA6A56">
            <w:pPr>
              <w:jc w:val="center"/>
              <w:rPr>
                <w:rFonts w:ascii="Arial" w:hAnsi="Arial" w:cs="Arial"/>
                <w:b/>
                <w:sz w:val="18"/>
                <w:szCs w:val="18"/>
              </w:rPr>
            </w:pPr>
            <w:r w:rsidRPr="00911A0C">
              <w:rPr>
                <w:rFonts w:ascii="Arial" w:hAnsi="Arial" w:cs="Arial"/>
                <w:b/>
                <w:sz w:val="18"/>
                <w:szCs w:val="18"/>
              </w:rPr>
              <w:t>Indirect Measures</w:t>
            </w:r>
          </w:p>
        </w:tc>
      </w:tr>
      <w:tr w:rsidR="00911A0C" w:rsidRPr="00911A0C" w:rsidTr="00EA6A56">
        <w:trPr>
          <w:cantSplit/>
          <w:trHeight w:val="1337"/>
        </w:trPr>
        <w:tc>
          <w:tcPr>
            <w:tcW w:w="1585" w:type="pct"/>
            <w:vAlign w:val="center"/>
          </w:tcPr>
          <w:p w:rsidR="00911A0C" w:rsidRPr="00911A0C" w:rsidRDefault="00911A0C" w:rsidP="00EA6A56">
            <w:pPr>
              <w:jc w:val="center"/>
              <w:rPr>
                <w:rFonts w:ascii="Arial" w:hAnsi="Arial" w:cs="Arial"/>
                <w:b/>
                <w:sz w:val="18"/>
                <w:szCs w:val="18"/>
              </w:rPr>
            </w:pPr>
            <w:r w:rsidRPr="00911A0C">
              <w:rPr>
                <w:rFonts w:ascii="Arial" w:hAnsi="Arial" w:cs="Arial"/>
                <w:b/>
                <w:sz w:val="18"/>
                <w:szCs w:val="18"/>
              </w:rPr>
              <w:t>Area of Assessment</w:t>
            </w:r>
          </w:p>
        </w:tc>
        <w:tc>
          <w:tcPr>
            <w:tcW w:w="1971" w:type="pct"/>
            <w:vAlign w:val="center"/>
          </w:tcPr>
          <w:p w:rsidR="00911A0C" w:rsidRPr="00911A0C" w:rsidRDefault="00911A0C" w:rsidP="00EA6A56">
            <w:pPr>
              <w:jc w:val="center"/>
              <w:rPr>
                <w:rFonts w:ascii="Arial" w:hAnsi="Arial" w:cs="Arial"/>
                <w:b/>
                <w:sz w:val="18"/>
                <w:szCs w:val="18"/>
              </w:rPr>
            </w:pPr>
            <w:r w:rsidRPr="00911A0C">
              <w:rPr>
                <w:rFonts w:ascii="Arial" w:hAnsi="Arial" w:cs="Arial"/>
                <w:b/>
                <w:sz w:val="18"/>
                <w:szCs w:val="18"/>
              </w:rPr>
              <w:t>QEP Student Learning Outcomes</w:t>
            </w:r>
          </w:p>
        </w:tc>
        <w:tc>
          <w:tcPr>
            <w:tcW w:w="337" w:type="pct"/>
            <w:shd w:val="clear" w:color="auto" w:fill="00966B"/>
            <w:textDirection w:val="btLr"/>
          </w:tcPr>
          <w:p w:rsidR="00911A0C" w:rsidRPr="00911A0C" w:rsidRDefault="00911A0C" w:rsidP="00EA6A56">
            <w:pPr>
              <w:rPr>
                <w:rFonts w:ascii="Arial" w:hAnsi="Arial" w:cs="Arial"/>
                <w:sz w:val="18"/>
                <w:szCs w:val="18"/>
              </w:rPr>
            </w:pPr>
            <w:r w:rsidRPr="00911A0C">
              <w:rPr>
                <w:rFonts w:ascii="Arial" w:hAnsi="Arial" w:cs="Arial"/>
                <w:sz w:val="18"/>
                <w:szCs w:val="18"/>
              </w:rPr>
              <w:t>Course Embedded</w:t>
            </w:r>
          </w:p>
        </w:tc>
        <w:tc>
          <w:tcPr>
            <w:tcW w:w="353" w:type="pct"/>
            <w:shd w:val="clear" w:color="auto" w:fill="00966B"/>
            <w:textDirection w:val="btLr"/>
          </w:tcPr>
          <w:p w:rsidR="00911A0C" w:rsidRPr="00911A0C" w:rsidRDefault="00911A0C" w:rsidP="00EA6A56">
            <w:pPr>
              <w:rPr>
                <w:rFonts w:ascii="Arial" w:hAnsi="Arial" w:cs="Arial"/>
                <w:sz w:val="18"/>
                <w:szCs w:val="18"/>
              </w:rPr>
            </w:pPr>
            <w:r w:rsidRPr="00911A0C">
              <w:rPr>
                <w:rFonts w:ascii="Arial" w:hAnsi="Arial" w:cs="Arial"/>
                <w:sz w:val="18"/>
                <w:szCs w:val="18"/>
              </w:rPr>
              <w:t>Community Based</w:t>
            </w:r>
          </w:p>
        </w:tc>
        <w:tc>
          <w:tcPr>
            <w:tcW w:w="262" w:type="pct"/>
            <w:shd w:val="clear" w:color="auto" w:fill="FFCC66"/>
            <w:textDirection w:val="btLr"/>
          </w:tcPr>
          <w:p w:rsidR="00911A0C" w:rsidRPr="00911A0C" w:rsidRDefault="00911A0C" w:rsidP="00EA6A56">
            <w:pPr>
              <w:rPr>
                <w:rFonts w:ascii="Arial" w:hAnsi="Arial" w:cs="Arial"/>
                <w:sz w:val="18"/>
                <w:szCs w:val="18"/>
              </w:rPr>
            </w:pPr>
            <w:r w:rsidRPr="00911A0C">
              <w:rPr>
                <w:rFonts w:ascii="Arial" w:hAnsi="Arial" w:cs="Arial"/>
                <w:sz w:val="18"/>
                <w:szCs w:val="18"/>
              </w:rPr>
              <w:t xml:space="preserve">Student   pre/post  survey </w:t>
            </w:r>
          </w:p>
        </w:tc>
        <w:tc>
          <w:tcPr>
            <w:tcW w:w="227" w:type="pct"/>
            <w:shd w:val="clear" w:color="auto" w:fill="FFCC66"/>
            <w:textDirection w:val="btLr"/>
          </w:tcPr>
          <w:p w:rsidR="00911A0C" w:rsidRPr="00911A0C" w:rsidRDefault="00911A0C" w:rsidP="00EA6A56">
            <w:pPr>
              <w:rPr>
                <w:rFonts w:ascii="Arial" w:hAnsi="Arial" w:cs="Arial"/>
                <w:sz w:val="18"/>
                <w:szCs w:val="18"/>
              </w:rPr>
            </w:pPr>
            <w:r w:rsidRPr="00911A0C">
              <w:rPr>
                <w:rFonts w:ascii="Arial" w:hAnsi="Arial" w:cs="Arial"/>
                <w:sz w:val="18"/>
                <w:szCs w:val="18"/>
              </w:rPr>
              <w:t>NSSE</w:t>
            </w:r>
          </w:p>
        </w:tc>
        <w:tc>
          <w:tcPr>
            <w:tcW w:w="265" w:type="pct"/>
            <w:shd w:val="clear" w:color="auto" w:fill="FFCC66"/>
            <w:textDirection w:val="btLr"/>
          </w:tcPr>
          <w:p w:rsidR="00911A0C" w:rsidRPr="00911A0C" w:rsidRDefault="00911A0C" w:rsidP="00EA6A56">
            <w:pPr>
              <w:rPr>
                <w:rFonts w:ascii="Arial" w:hAnsi="Arial" w:cs="Arial"/>
                <w:sz w:val="18"/>
                <w:szCs w:val="18"/>
              </w:rPr>
            </w:pPr>
            <w:r w:rsidRPr="00911A0C">
              <w:rPr>
                <w:rFonts w:ascii="Arial" w:hAnsi="Arial" w:cs="Arial"/>
                <w:sz w:val="18"/>
                <w:szCs w:val="18"/>
              </w:rPr>
              <w:t>Employer Survey</w:t>
            </w:r>
          </w:p>
        </w:tc>
      </w:tr>
      <w:tr w:rsidR="00911A0C" w:rsidRPr="00911A0C" w:rsidTr="00EA6A56">
        <w:tc>
          <w:tcPr>
            <w:tcW w:w="1585" w:type="pct"/>
          </w:tcPr>
          <w:p w:rsidR="00911A0C" w:rsidRPr="00911A0C" w:rsidRDefault="00911A0C" w:rsidP="00EA6A56">
            <w:pPr>
              <w:jc w:val="center"/>
              <w:rPr>
                <w:rFonts w:ascii="Arial" w:hAnsi="Arial" w:cs="Arial"/>
                <w:b/>
                <w:sz w:val="18"/>
                <w:szCs w:val="18"/>
              </w:rPr>
            </w:pPr>
            <w:r w:rsidRPr="00911A0C">
              <w:rPr>
                <w:rFonts w:ascii="Arial" w:hAnsi="Arial" w:cs="Arial"/>
                <w:b/>
                <w:noProof/>
                <w:sz w:val="18"/>
                <w:szCs w:val="18"/>
              </w:rPr>
              <w:drawing>
                <wp:inline distT="0" distB="0" distL="0" distR="0" wp14:anchorId="17811CA3" wp14:editId="4F34572E">
                  <wp:extent cx="1524000" cy="504825"/>
                  <wp:effectExtent l="19050" t="0" r="0" b="0"/>
                  <wp:docPr id="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srcRect/>
                          <a:stretch>
                            <a:fillRect/>
                          </a:stretch>
                        </pic:blipFill>
                        <pic:spPr bwMode="auto">
                          <a:xfrm>
                            <a:off x="0" y="0"/>
                            <a:ext cx="1524000" cy="504825"/>
                          </a:xfrm>
                          <a:prstGeom prst="rect">
                            <a:avLst/>
                          </a:prstGeom>
                          <a:noFill/>
                          <a:ln w="9525">
                            <a:noFill/>
                            <a:miter lim="800000"/>
                            <a:headEnd/>
                            <a:tailEnd/>
                          </a:ln>
                        </pic:spPr>
                      </pic:pic>
                    </a:graphicData>
                  </a:graphic>
                </wp:inline>
              </w:drawing>
            </w:r>
          </w:p>
          <w:p w:rsidR="00911A0C" w:rsidRPr="00911A0C" w:rsidRDefault="00911A0C" w:rsidP="00EA6A56">
            <w:pPr>
              <w:rPr>
                <w:rFonts w:ascii="Arial" w:hAnsi="Arial" w:cs="Arial"/>
                <w:i/>
                <w:sz w:val="18"/>
                <w:szCs w:val="18"/>
              </w:rPr>
            </w:pPr>
            <w:r w:rsidRPr="00911A0C">
              <w:rPr>
                <w:rFonts w:ascii="Arial" w:hAnsi="Arial" w:cs="Arial"/>
                <w:i/>
                <w:sz w:val="18"/>
                <w:szCs w:val="18"/>
              </w:rPr>
              <w:t>The activity in which the student can connect and apply academic work in a setting authentic to the discipline.</w:t>
            </w:r>
          </w:p>
        </w:tc>
        <w:tc>
          <w:tcPr>
            <w:tcW w:w="1971" w:type="pct"/>
          </w:tcPr>
          <w:p w:rsidR="00911A0C" w:rsidRPr="00911A0C" w:rsidRDefault="00911A0C" w:rsidP="00EA6A56">
            <w:pPr>
              <w:rPr>
                <w:rFonts w:ascii="Arial" w:hAnsi="Arial" w:cs="Arial"/>
                <w:sz w:val="18"/>
                <w:szCs w:val="18"/>
              </w:rPr>
            </w:pPr>
          </w:p>
          <w:p w:rsidR="00911A0C" w:rsidRPr="00911A0C" w:rsidRDefault="00911A0C" w:rsidP="00EA6A56">
            <w:pPr>
              <w:rPr>
                <w:rFonts w:ascii="Arial" w:hAnsi="Arial" w:cs="Arial"/>
                <w:sz w:val="18"/>
                <w:szCs w:val="18"/>
              </w:rPr>
            </w:pPr>
            <w:r w:rsidRPr="00911A0C">
              <w:rPr>
                <w:rFonts w:ascii="Arial" w:hAnsi="Arial" w:cs="Arial"/>
                <w:sz w:val="18"/>
                <w:szCs w:val="18"/>
              </w:rPr>
              <w:t>SLO 1:  Student will apply professional (discipline-specific) knowledge in an authentic setting.</w:t>
            </w:r>
          </w:p>
        </w:tc>
        <w:tc>
          <w:tcPr>
            <w:tcW w:w="337"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353"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262"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227"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265"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r>
      <w:tr w:rsidR="00911A0C" w:rsidRPr="00911A0C" w:rsidTr="00EA6A56">
        <w:tc>
          <w:tcPr>
            <w:tcW w:w="1585" w:type="pct"/>
            <w:vMerge w:val="restart"/>
          </w:tcPr>
          <w:p w:rsidR="00911A0C" w:rsidRPr="00911A0C" w:rsidRDefault="00911A0C" w:rsidP="00EA6A56">
            <w:pPr>
              <w:jc w:val="center"/>
              <w:rPr>
                <w:rFonts w:ascii="Arial" w:hAnsi="Arial" w:cs="Arial"/>
                <w:b/>
                <w:sz w:val="18"/>
                <w:szCs w:val="18"/>
              </w:rPr>
            </w:pPr>
            <w:r w:rsidRPr="00911A0C">
              <w:rPr>
                <w:rFonts w:ascii="Arial" w:hAnsi="Arial" w:cs="Arial"/>
                <w:b/>
                <w:noProof/>
                <w:sz w:val="18"/>
                <w:szCs w:val="18"/>
              </w:rPr>
              <w:drawing>
                <wp:inline distT="0" distB="0" distL="0" distR="0" wp14:anchorId="260161DE" wp14:editId="1E14598B">
                  <wp:extent cx="1504950" cy="514350"/>
                  <wp:effectExtent l="19050" t="0" r="0" b="0"/>
                  <wp:docPr id="4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srcRect/>
                          <a:stretch>
                            <a:fillRect/>
                          </a:stretch>
                        </pic:blipFill>
                        <pic:spPr bwMode="auto">
                          <a:xfrm>
                            <a:off x="0" y="0"/>
                            <a:ext cx="1504950" cy="514350"/>
                          </a:xfrm>
                          <a:prstGeom prst="rect">
                            <a:avLst/>
                          </a:prstGeom>
                          <a:noFill/>
                          <a:ln w="9525">
                            <a:noFill/>
                            <a:miter lim="800000"/>
                            <a:headEnd/>
                            <a:tailEnd/>
                          </a:ln>
                        </pic:spPr>
                      </pic:pic>
                    </a:graphicData>
                  </a:graphic>
                </wp:inline>
              </w:drawing>
            </w:r>
          </w:p>
          <w:p w:rsidR="00911A0C" w:rsidRPr="00911A0C" w:rsidRDefault="00911A0C" w:rsidP="00EA6A56">
            <w:pPr>
              <w:rPr>
                <w:rFonts w:ascii="Arial" w:hAnsi="Arial" w:cs="Arial"/>
                <w:sz w:val="18"/>
                <w:szCs w:val="18"/>
              </w:rPr>
            </w:pPr>
            <w:r w:rsidRPr="00911A0C">
              <w:rPr>
                <w:rFonts w:ascii="Arial" w:hAnsi="Arial" w:cs="Arial"/>
                <w:i/>
                <w:sz w:val="18"/>
                <w:szCs w:val="18"/>
              </w:rPr>
              <w:t>The performance, act, or product by which the student communicates information on the experience in a method in line with the discipline (such as an oral presentation, an essay, a video, a graphic design, etc.).</w:t>
            </w:r>
          </w:p>
          <w:p w:rsidR="00911A0C" w:rsidRPr="00911A0C" w:rsidRDefault="00911A0C" w:rsidP="00EA6A56">
            <w:pPr>
              <w:jc w:val="center"/>
              <w:rPr>
                <w:rFonts w:ascii="Arial" w:hAnsi="Arial" w:cs="Arial"/>
                <w:sz w:val="18"/>
                <w:szCs w:val="18"/>
              </w:rPr>
            </w:pPr>
          </w:p>
        </w:tc>
        <w:tc>
          <w:tcPr>
            <w:tcW w:w="1971" w:type="pct"/>
          </w:tcPr>
          <w:p w:rsidR="00911A0C" w:rsidRPr="00911A0C" w:rsidRDefault="00911A0C" w:rsidP="00EA6A56">
            <w:pPr>
              <w:rPr>
                <w:rFonts w:ascii="Arial" w:hAnsi="Arial" w:cs="Arial"/>
                <w:sz w:val="18"/>
                <w:szCs w:val="18"/>
              </w:rPr>
            </w:pPr>
          </w:p>
          <w:p w:rsidR="00911A0C" w:rsidRPr="00911A0C" w:rsidRDefault="00911A0C" w:rsidP="00EA6A56">
            <w:pPr>
              <w:rPr>
                <w:rFonts w:ascii="Arial" w:hAnsi="Arial" w:cs="Arial"/>
                <w:sz w:val="18"/>
                <w:szCs w:val="18"/>
              </w:rPr>
            </w:pPr>
            <w:r w:rsidRPr="00911A0C">
              <w:rPr>
                <w:rFonts w:ascii="Arial" w:hAnsi="Arial" w:cs="Arial"/>
                <w:sz w:val="18"/>
                <w:szCs w:val="18"/>
              </w:rPr>
              <w:t>SLO 2:  Student will demonstrate effective communication in a professionally-authentic form.</w:t>
            </w:r>
          </w:p>
          <w:p w:rsidR="00911A0C" w:rsidRPr="00911A0C" w:rsidRDefault="00911A0C" w:rsidP="00EA6A56">
            <w:pPr>
              <w:rPr>
                <w:rFonts w:ascii="Arial" w:hAnsi="Arial" w:cs="Arial"/>
                <w:sz w:val="18"/>
                <w:szCs w:val="18"/>
              </w:rPr>
            </w:pPr>
          </w:p>
          <w:p w:rsidR="00911A0C" w:rsidRPr="00911A0C" w:rsidRDefault="00911A0C" w:rsidP="00EA6A56">
            <w:pPr>
              <w:rPr>
                <w:rFonts w:ascii="Arial" w:hAnsi="Arial" w:cs="Arial"/>
                <w:sz w:val="18"/>
                <w:szCs w:val="18"/>
              </w:rPr>
            </w:pPr>
          </w:p>
          <w:p w:rsidR="00911A0C" w:rsidRPr="00911A0C" w:rsidRDefault="00911A0C" w:rsidP="00EA6A56">
            <w:pPr>
              <w:rPr>
                <w:rFonts w:ascii="Arial" w:hAnsi="Arial" w:cs="Arial"/>
                <w:sz w:val="18"/>
                <w:szCs w:val="18"/>
              </w:rPr>
            </w:pPr>
          </w:p>
        </w:tc>
        <w:tc>
          <w:tcPr>
            <w:tcW w:w="337"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353" w:type="pct"/>
            <w:vAlign w:val="center"/>
          </w:tcPr>
          <w:p w:rsidR="00911A0C" w:rsidRPr="00911A0C" w:rsidRDefault="00911A0C" w:rsidP="00EA6A56">
            <w:pPr>
              <w:jc w:val="center"/>
              <w:rPr>
                <w:rFonts w:ascii="Arial" w:hAnsi="Arial" w:cs="Arial"/>
                <w:sz w:val="18"/>
                <w:szCs w:val="18"/>
              </w:rPr>
            </w:pPr>
          </w:p>
        </w:tc>
        <w:tc>
          <w:tcPr>
            <w:tcW w:w="262"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227" w:type="pct"/>
            <w:vAlign w:val="center"/>
          </w:tcPr>
          <w:p w:rsidR="00911A0C" w:rsidRPr="00911A0C" w:rsidRDefault="00911A0C" w:rsidP="00EA6A56">
            <w:pPr>
              <w:jc w:val="center"/>
              <w:rPr>
                <w:rFonts w:ascii="Arial" w:hAnsi="Arial" w:cs="Arial"/>
                <w:sz w:val="18"/>
                <w:szCs w:val="18"/>
              </w:rPr>
            </w:pPr>
          </w:p>
        </w:tc>
        <w:tc>
          <w:tcPr>
            <w:tcW w:w="265"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r>
      <w:tr w:rsidR="00911A0C" w:rsidRPr="00911A0C" w:rsidTr="00EA6A56">
        <w:tc>
          <w:tcPr>
            <w:tcW w:w="1585" w:type="pct"/>
            <w:vMerge/>
          </w:tcPr>
          <w:p w:rsidR="00911A0C" w:rsidRPr="00911A0C" w:rsidRDefault="00911A0C" w:rsidP="00EA6A56">
            <w:pPr>
              <w:rPr>
                <w:rFonts w:ascii="Arial" w:hAnsi="Arial" w:cs="Arial"/>
                <w:b/>
                <w:sz w:val="18"/>
                <w:szCs w:val="18"/>
              </w:rPr>
            </w:pPr>
          </w:p>
        </w:tc>
        <w:tc>
          <w:tcPr>
            <w:tcW w:w="1971" w:type="pct"/>
          </w:tcPr>
          <w:p w:rsidR="00911A0C" w:rsidRPr="00911A0C" w:rsidRDefault="00911A0C" w:rsidP="00EA6A56">
            <w:pPr>
              <w:rPr>
                <w:rFonts w:ascii="Arial" w:hAnsi="Arial" w:cs="Arial"/>
                <w:sz w:val="18"/>
                <w:szCs w:val="18"/>
              </w:rPr>
            </w:pPr>
          </w:p>
          <w:p w:rsidR="00911A0C" w:rsidRPr="00911A0C" w:rsidRDefault="00911A0C" w:rsidP="00EA6A56">
            <w:pPr>
              <w:rPr>
                <w:rFonts w:ascii="Arial" w:hAnsi="Arial" w:cs="Arial"/>
                <w:sz w:val="18"/>
                <w:szCs w:val="18"/>
              </w:rPr>
            </w:pPr>
            <w:r w:rsidRPr="00911A0C">
              <w:rPr>
                <w:rFonts w:ascii="Arial" w:hAnsi="Arial" w:cs="Arial"/>
                <w:sz w:val="18"/>
                <w:szCs w:val="18"/>
              </w:rPr>
              <w:t>SLO 3:  Student will reflect on the work, identifying strengths and weaknesses of product and process, and deriving directions for future efforts.</w:t>
            </w:r>
          </w:p>
        </w:tc>
        <w:tc>
          <w:tcPr>
            <w:tcW w:w="337"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353" w:type="pct"/>
            <w:vAlign w:val="center"/>
          </w:tcPr>
          <w:p w:rsidR="00911A0C" w:rsidRPr="00911A0C" w:rsidRDefault="00911A0C" w:rsidP="00EA6A56">
            <w:pPr>
              <w:jc w:val="center"/>
              <w:rPr>
                <w:rFonts w:ascii="Arial" w:hAnsi="Arial" w:cs="Arial"/>
                <w:sz w:val="18"/>
                <w:szCs w:val="18"/>
              </w:rPr>
            </w:pPr>
          </w:p>
        </w:tc>
        <w:tc>
          <w:tcPr>
            <w:tcW w:w="262"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227" w:type="pct"/>
            <w:vAlign w:val="center"/>
          </w:tcPr>
          <w:p w:rsidR="00911A0C" w:rsidRPr="00911A0C" w:rsidRDefault="00911A0C" w:rsidP="00EA6A56">
            <w:pPr>
              <w:jc w:val="center"/>
              <w:rPr>
                <w:rFonts w:ascii="Arial" w:hAnsi="Arial" w:cs="Arial"/>
                <w:sz w:val="18"/>
                <w:szCs w:val="18"/>
              </w:rPr>
            </w:pPr>
          </w:p>
        </w:tc>
        <w:tc>
          <w:tcPr>
            <w:tcW w:w="265" w:type="pct"/>
            <w:vAlign w:val="center"/>
          </w:tcPr>
          <w:p w:rsidR="00911A0C" w:rsidRPr="00911A0C" w:rsidRDefault="00911A0C" w:rsidP="00EA6A56">
            <w:pPr>
              <w:jc w:val="center"/>
              <w:rPr>
                <w:rFonts w:ascii="Arial" w:hAnsi="Arial" w:cs="Arial"/>
                <w:sz w:val="18"/>
                <w:szCs w:val="18"/>
              </w:rPr>
            </w:pPr>
          </w:p>
        </w:tc>
      </w:tr>
      <w:tr w:rsidR="00911A0C" w:rsidRPr="00911A0C" w:rsidTr="00EA6A56">
        <w:trPr>
          <w:trHeight w:val="515"/>
        </w:trPr>
        <w:tc>
          <w:tcPr>
            <w:tcW w:w="1585" w:type="pct"/>
          </w:tcPr>
          <w:p w:rsidR="00911A0C" w:rsidRPr="00911A0C" w:rsidRDefault="00911A0C" w:rsidP="00EA6A56">
            <w:pPr>
              <w:jc w:val="center"/>
              <w:rPr>
                <w:rFonts w:ascii="Arial" w:hAnsi="Arial" w:cs="Arial"/>
                <w:i/>
                <w:sz w:val="18"/>
                <w:szCs w:val="18"/>
              </w:rPr>
            </w:pPr>
            <w:r w:rsidRPr="00911A0C">
              <w:rPr>
                <w:rFonts w:ascii="Arial" w:hAnsi="Arial" w:cs="Arial"/>
                <w:i/>
                <w:noProof/>
                <w:sz w:val="18"/>
                <w:szCs w:val="18"/>
              </w:rPr>
              <w:drawing>
                <wp:inline distT="0" distB="0" distL="0" distR="0" wp14:anchorId="0DBBDF73" wp14:editId="7B77E9DC">
                  <wp:extent cx="1524000" cy="542925"/>
                  <wp:effectExtent l="19050" t="0" r="0" b="0"/>
                  <wp:docPr id="4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1524000" cy="542925"/>
                          </a:xfrm>
                          <a:prstGeom prst="rect">
                            <a:avLst/>
                          </a:prstGeom>
                          <a:noFill/>
                          <a:ln w="9525">
                            <a:noFill/>
                            <a:miter lim="800000"/>
                            <a:headEnd/>
                            <a:tailEnd/>
                          </a:ln>
                        </pic:spPr>
                      </pic:pic>
                    </a:graphicData>
                  </a:graphic>
                </wp:inline>
              </w:drawing>
            </w:r>
          </w:p>
          <w:p w:rsidR="00911A0C" w:rsidRPr="00911A0C" w:rsidRDefault="00911A0C" w:rsidP="00EA6A56">
            <w:pPr>
              <w:rPr>
                <w:rFonts w:ascii="Arial" w:hAnsi="Arial" w:cs="Arial"/>
                <w:b/>
                <w:sz w:val="18"/>
                <w:szCs w:val="18"/>
              </w:rPr>
            </w:pPr>
            <w:r w:rsidRPr="00911A0C">
              <w:rPr>
                <w:rFonts w:ascii="Arial" w:hAnsi="Arial" w:cs="Arial"/>
                <w:i/>
                <w:sz w:val="18"/>
                <w:szCs w:val="18"/>
              </w:rPr>
              <w:t>The actions, conduct and performance of the student throughout the course and the RWR experience.</w:t>
            </w:r>
          </w:p>
        </w:tc>
        <w:tc>
          <w:tcPr>
            <w:tcW w:w="1971" w:type="pct"/>
          </w:tcPr>
          <w:p w:rsidR="00911A0C" w:rsidRPr="00911A0C" w:rsidRDefault="00911A0C" w:rsidP="00EA6A56">
            <w:pPr>
              <w:rPr>
                <w:rFonts w:ascii="Arial" w:hAnsi="Arial" w:cs="Arial"/>
                <w:sz w:val="18"/>
                <w:szCs w:val="18"/>
              </w:rPr>
            </w:pPr>
          </w:p>
          <w:p w:rsidR="00911A0C" w:rsidRPr="00911A0C" w:rsidRDefault="00911A0C" w:rsidP="00EA6A56">
            <w:pPr>
              <w:rPr>
                <w:rFonts w:ascii="Arial" w:hAnsi="Arial" w:cs="Arial"/>
                <w:sz w:val="18"/>
                <w:szCs w:val="18"/>
              </w:rPr>
            </w:pPr>
            <w:r w:rsidRPr="00911A0C">
              <w:rPr>
                <w:rFonts w:ascii="Arial" w:hAnsi="Arial" w:cs="Arial"/>
                <w:sz w:val="18"/>
                <w:szCs w:val="18"/>
              </w:rPr>
              <w:t>SLO 4: Students’ professional behaviors reflect a commitment to quality work.</w:t>
            </w:r>
          </w:p>
        </w:tc>
        <w:tc>
          <w:tcPr>
            <w:tcW w:w="337"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353"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262" w:type="pct"/>
            <w:vAlign w:val="center"/>
          </w:tcPr>
          <w:p w:rsidR="00911A0C" w:rsidRPr="00911A0C" w:rsidRDefault="00911A0C" w:rsidP="00EA6A56">
            <w:pPr>
              <w:jc w:val="center"/>
              <w:rPr>
                <w:rFonts w:ascii="Arial" w:hAnsi="Arial" w:cs="Arial"/>
                <w:sz w:val="18"/>
                <w:szCs w:val="18"/>
              </w:rPr>
            </w:pPr>
            <w:r w:rsidRPr="00911A0C">
              <w:rPr>
                <w:rFonts w:ascii="Arial" w:hAnsi="Arial" w:cs="Arial"/>
                <w:sz w:val="18"/>
                <w:szCs w:val="18"/>
              </w:rPr>
              <w:t>X</w:t>
            </w:r>
          </w:p>
        </w:tc>
        <w:tc>
          <w:tcPr>
            <w:tcW w:w="227" w:type="pct"/>
            <w:vAlign w:val="center"/>
          </w:tcPr>
          <w:p w:rsidR="00911A0C" w:rsidRPr="00911A0C" w:rsidRDefault="00911A0C" w:rsidP="00EA6A56">
            <w:pPr>
              <w:jc w:val="center"/>
              <w:rPr>
                <w:rFonts w:ascii="Arial" w:hAnsi="Arial" w:cs="Arial"/>
                <w:sz w:val="18"/>
                <w:szCs w:val="18"/>
                <w:vertAlign w:val="superscript"/>
              </w:rPr>
            </w:pPr>
          </w:p>
        </w:tc>
        <w:tc>
          <w:tcPr>
            <w:tcW w:w="265" w:type="pct"/>
            <w:vAlign w:val="center"/>
          </w:tcPr>
          <w:p w:rsidR="00911A0C" w:rsidRPr="00911A0C" w:rsidRDefault="00911A0C" w:rsidP="00EA6A56">
            <w:pPr>
              <w:jc w:val="center"/>
              <w:rPr>
                <w:rFonts w:ascii="Arial" w:hAnsi="Arial" w:cs="Arial"/>
                <w:sz w:val="18"/>
                <w:szCs w:val="18"/>
                <w:vertAlign w:val="superscript"/>
              </w:rPr>
            </w:pPr>
            <w:r w:rsidRPr="00911A0C">
              <w:rPr>
                <w:rFonts w:ascii="Arial" w:hAnsi="Arial" w:cs="Arial"/>
                <w:sz w:val="18"/>
                <w:szCs w:val="18"/>
              </w:rPr>
              <w:t>X</w:t>
            </w:r>
          </w:p>
        </w:tc>
      </w:tr>
    </w:tbl>
    <w:p w:rsidR="00911A0C" w:rsidRDefault="00911A0C" w:rsidP="00911A0C">
      <w:pPr>
        <w:rPr>
          <w:rFonts w:ascii="Arial" w:eastAsia="Times New Roman" w:hAnsi="Arial" w:cs="Arial"/>
          <w:color w:val="5B9BD5" w:themeColor="accent1"/>
          <w:sz w:val="18"/>
          <w:szCs w:val="18"/>
        </w:rPr>
      </w:pPr>
    </w:p>
    <w:p w:rsidR="00911A0C" w:rsidRDefault="00911A0C" w:rsidP="00911A0C">
      <w:pPr>
        <w:rPr>
          <w:rFonts w:ascii="Arial" w:eastAsia="Times New Roman" w:hAnsi="Arial" w:cs="Arial"/>
          <w:color w:val="5B9BD5" w:themeColor="accent1"/>
          <w:sz w:val="18"/>
          <w:szCs w:val="18"/>
        </w:rPr>
      </w:pPr>
      <w:r w:rsidRPr="00BD5FF8">
        <w:rPr>
          <w:rFonts w:ascii="Arial" w:eastAsia="Times New Roman" w:hAnsi="Arial" w:cs="Arial"/>
          <w:color w:val="5B9BD5" w:themeColor="accent1"/>
          <w:sz w:val="18"/>
          <w:szCs w:val="18"/>
        </w:rPr>
        <w:t xml:space="preserve">Table </w:t>
      </w:r>
      <w:r>
        <w:rPr>
          <w:rFonts w:ascii="Arial" w:eastAsia="Times New Roman" w:hAnsi="Arial" w:cs="Arial"/>
          <w:color w:val="5B9BD5" w:themeColor="accent1"/>
          <w:sz w:val="18"/>
          <w:szCs w:val="18"/>
        </w:rPr>
        <w:t>12</w:t>
      </w:r>
      <w:r w:rsidRPr="00BD5FF8">
        <w:rPr>
          <w:rFonts w:ascii="Arial" w:eastAsia="Times New Roman" w:hAnsi="Arial" w:cs="Arial"/>
          <w:color w:val="5B9BD5" w:themeColor="accent1"/>
          <w:sz w:val="18"/>
          <w:szCs w:val="18"/>
        </w:rPr>
        <w:t xml:space="preserve">: </w:t>
      </w:r>
      <w:r>
        <w:rPr>
          <w:rFonts w:ascii="Arial" w:eastAsia="Times New Roman" w:hAnsi="Arial" w:cs="Arial"/>
          <w:color w:val="5B9BD5" w:themeColor="accent1"/>
          <w:sz w:val="18"/>
          <w:szCs w:val="18"/>
        </w:rPr>
        <w:t>Summary of Assessment Activities</w:t>
      </w:r>
    </w:p>
    <w:p w:rsidR="00911A0C" w:rsidRPr="00BD5FF8" w:rsidRDefault="00911A0C" w:rsidP="00911A0C">
      <w:pPr>
        <w:rPr>
          <w:rFonts w:ascii="Arial" w:eastAsia="Times New Roman" w:hAnsi="Arial" w:cs="Arial"/>
          <w:color w:val="5B9BD5" w:themeColor="accent1"/>
          <w:sz w:val="18"/>
          <w:szCs w:val="18"/>
        </w:rPr>
      </w:pPr>
    </w:p>
    <w:p w:rsidR="00911A0C" w:rsidRPr="00981845" w:rsidRDefault="00911A0C" w:rsidP="00911A0C">
      <w:pPr>
        <w:rPr>
          <w:rFonts w:ascii="Arial" w:hAnsi="Arial" w:cs="Arial"/>
          <w:b/>
          <w:bCs/>
          <w:i/>
          <w:color w:val="D4AC02"/>
          <w:sz w:val="22"/>
          <w:szCs w:val="22"/>
        </w:rPr>
      </w:pPr>
      <w:r w:rsidRPr="00981845">
        <w:rPr>
          <w:rFonts w:ascii="Arial" w:hAnsi="Arial" w:cs="Arial"/>
          <w:b/>
          <w:bCs/>
          <w:i/>
          <w:color w:val="D4AC02"/>
          <w:sz w:val="22"/>
          <w:szCs w:val="22"/>
        </w:rPr>
        <w:t>ASSESSMENT ACTIVITIES: Student learning outcomes</w:t>
      </w:r>
    </w:p>
    <w:p w:rsidR="00911A0C" w:rsidRDefault="00911A0C" w:rsidP="00911A0C">
      <w:pPr>
        <w:spacing w:after="200" w:line="276" w:lineRule="auto"/>
        <w:rPr>
          <w:rFonts w:ascii="Arial" w:hAnsi="Arial" w:cs="Arial"/>
          <w:sz w:val="22"/>
          <w:szCs w:val="22"/>
        </w:rPr>
      </w:pPr>
      <w:r>
        <w:rPr>
          <w:rFonts w:ascii="Arial" w:hAnsi="Arial" w:cs="Arial"/>
          <w:sz w:val="22"/>
          <w:szCs w:val="22"/>
        </w:rPr>
        <w:t xml:space="preserve">Direct measures of the student learning outcomes include both course embedded and community-based assessments.  </w:t>
      </w:r>
      <w:r w:rsidRPr="00B6652D">
        <w:rPr>
          <w:rFonts w:ascii="Arial" w:hAnsi="Arial" w:cs="Arial"/>
          <w:sz w:val="22"/>
          <w:szCs w:val="22"/>
        </w:rPr>
        <w:t xml:space="preserve">Course Embedded assessments refer to those activities directed by the faculty member(s) teaching the course aligned with the real-world experience.  </w:t>
      </w:r>
      <w:r w:rsidRPr="00B6652D">
        <w:rPr>
          <w:rFonts w:ascii="Arial" w:hAnsi="Arial" w:cs="Arial"/>
          <w:sz w:val="22"/>
          <w:szCs w:val="22"/>
        </w:rPr>
        <w:lastRenderedPageBreak/>
        <w:t>Community</w:t>
      </w:r>
      <w:r>
        <w:rPr>
          <w:rFonts w:ascii="Arial" w:hAnsi="Arial" w:cs="Arial"/>
          <w:sz w:val="22"/>
          <w:szCs w:val="22"/>
        </w:rPr>
        <w:t>-</w:t>
      </w:r>
      <w:r w:rsidRPr="00B6652D">
        <w:rPr>
          <w:rFonts w:ascii="Arial" w:hAnsi="Arial" w:cs="Arial"/>
          <w:sz w:val="22"/>
          <w:szCs w:val="22"/>
        </w:rPr>
        <w:t xml:space="preserve">based assessments are performed by the site supervisor </w:t>
      </w:r>
      <w:r>
        <w:rPr>
          <w:rFonts w:ascii="Arial" w:hAnsi="Arial" w:cs="Arial"/>
          <w:sz w:val="22"/>
          <w:szCs w:val="22"/>
        </w:rPr>
        <w:t xml:space="preserve">(when applicable) </w:t>
      </w:r>
      <w:r w:rsidRPr="00B6652D">
        <w:rPr>
          <w:rFonts w:ascii="Arial" w:hAnsi="Arial" w:cs="Arial"/>
          <w:sz w:val="22"/>
          <w:szCs w:val="22"/>
        </w:rPr>
        <w:t xml:space="preserve">of the real-world experience.  </w:t>
      </w:r>
      <w:r>
        <w:rPr>
          <w:rFonts w:ascii="Arial" w:hAnsi="Arial" w:cs="Arial"/>
          <w:sz w:val="22"/>
          <w:szCs w:val="22"/>
        </w:rPr>
        <w:t>As indicated above, analytic rubrics</w:t>
      </w:r>
      <w:r w:rsidRPr="00B6652D">
        <w:rPr>
          <w:rFonts w:ascii="Arial" w:hAnsi="Arial" w:cs="Arial"/>
          <w:sz w:val="22"/>
          <w:szCs w:val="22"/>
        </w:rPr>
        <w:t xml:space="preserve"> </w:t>
      </w:r>
      <w:r>
        <w:rPr>
          <w:rFonts w:ascii="Arial" w:hAnsi="Arial" w:cs="Arial"/>
          <w:sz w:val="22"/>
          <w:szCs w:val="22"/>
        </w:rPr>
        <w:t xml:space="preserve">within the discipline </w:t>
      </w:r>
      <w:r w:rsidRPr="00B6652D">
        <w:rPr>
          <w:rFonts w:ascii="Arial" w:hAnsi="Arial" w:cs="Arial"/>
          <w:sz w:val="22"/>
          <w:szCs w:val="22"/>
        </w:rPr>
        <w:t xml:space="preserve">will be used to evaluate student writing </w:t>
      </w:r>
      <w:r>
        <w:rPr>
          <w:rFonts w:ascii="Arial" w:hAnsi="Arial" w:cs="Arial"/>
          <w:sz w:val="22"/>
          <w:szCs w:val="22"/>
        </w:rPr>
        <w:t xml:space="preserve">(course embedded) </w:t>
      </w:r>
      <w:r w:rsidRPr="00B6652D">
        <w:rPr>
          <w:rFonts w:ascii="Arial" w:hAnsi="Arial" w:cs="Arial"/>
          <w:sz w:val="22"/>
          <w:szCs w:val="22"/>
        </w:rPr>
        <w:t>and observed behavior</w:t>
      </w:r>
      <w:r>
        <w:rPr>
          <w:rFonts w:ascii="Arial" w:hAnsi="Arial" w:cs="Arial"/>
          <w:sz w:val="22"/>
          <w:szCs w:val="22"/>
        </w:rPr>
        <w:t xml:space="preserve"> (course embedded and community based)</w:t>
      </w:r>
      <w:r w:rsidRPr="00B6652D">
        <w:rPr>
          <w:rFonts w:ascii="Arial" w:hAnsi="Arial" w:cs="Arial"/>
          <w:sz w:val="22"/>
          <w:szCs w:val="22"/>
        </w:rPr>
        <w:t xml:space="preserve">. </w:t>
      </w:r>
      <w:r>
        <w:rPr>
          <w:rFonts w:ascii="Arial" w:hAnsi="Arial" w:cs="Arial"/>
          <w:sz w:val="22"/>
          <w:szCs w:val="22"/>
        </w:rPr>
        <w:t>These discipline-specific rubrics wil</w:t>
      </w:r>
      <w:r w:rsidR="00DE14B9">
        <w:rPr>
          <w:rFonts w:ascii="Arial" w:hAnsi="Arial" w:cs="Arial"/>
          <w:sz w:val="22"/>
          <w:szCs w:val="22"/>
        </w:rPr>
        <w:t xml:space="preserve">l align with the Master Rubric </w:t>
      </w:r>
      <w:r>
        <w:rPr>
          <w:rFonts w:ascii="Arial" w:hAnsi="Arial" w:cs="Arial"/>
          <w:sz w:val="22"/>
          <w:szCs w:val="22"/>
        </w:rPr>
        <w:t>and reflect these assessment categories: Connections to Experience, Professional Performance, Integrated Communication, Self-Assessment, and Student Behavior.</w:t>
      </w:r>
    </w:p>
    <w:p w:rsidR="00911A0C" w:rsidRDefault="00911A0C" w:rsidP="00911A0C">
      <w:pPr>
        <w:rPr>
          <w:rFonts w:ascii="Arial" w:hAnsi="Arial" w:cs="Arial"/>
          <w:sz w:val="22"/>
          <w:szCs w:val="22"/>
        </w:rPr>
      </w:pPr>
      <w:r>
        <w:rPr>
          <w:rFonts w:ascii="Arial" w:hAnsi="Arial" w:cs="Arial"/>
          <w:sz w:val="22"/>
          <w:szCs w:val="22"/>
        </w:rPr>
        <w:t>Assessment within these three areas is described in the following outline.</w:t>
      </w:r>
    </w:p>
    <w:p w:rsidR="00911A0C" w:rsidRPr="001A625F" w:rsidRDefault="00911A0C" w:rsidP="00911A0C">
      <w:pPr>
        <w:rPr>
          <w:rFonts w:ascii="Arial" w:hAnsi="Arial" w:cs="Arial"/>
          <w:sz w:val="22"/>
          <w:szCs w:val="22"/>
        </w:rPr>
      </w:pPr>
    </w:p>
    <w:p w:rsidR="00911A0C" w:rsidRPr="004C75F9" w:rsidRDefault="00911A0C" w:rsidP="00911A0C">
      <w:pPr>
        <w:pStyle w:val="ListParagraph"/>
        <w:numPr>
          <w:ilvl w:val="0"/>
          <w:numId w:val="4"/>
        </w:numPr>
        <w:rPr>
          <w:rFonts w:ascii="Arial" w:hAnsi="Arial" w:cs="Arial"/>
          <w:b/>
          <w:sz w:val="22"/>
          <w:szCs w:val="22"/>
        </w:rPr>
      </w:pPr>
      <w:r w:rsidRPr="004C75F9">
        <w:rPr>
          <w:rFonts w:ascii="Arial" w:hAnsi="Arial" w:cs="Arial"/>
          <w:b/>
          <w:sz w:val="22"/>
          <w:szCs w:val="22"/>
        </w:rPr>
        <w:t xml:space="preserve">The Experience </w:t>
      </w:r>
      <w:r w:rsidRPr="004C75F9">
        <w:rPr>
          <w:rFonts w:ascii="Arial" w:hAnsi="Arial" w:cs="Arial"/>
          <w:sz w:val="22"/>
          <w:szCs w:val="22"/>
        </w:rPr>
        <w:t>refers to the activity in which the student can connect and apply academic work in a setting authentic to the discipline.</w:t>
      </w:r>
    </w:p>
    <w:p w:rsidR="00911A0C" w:rsidRPr="001A625F" w:rsidRDefault="00911A0C" w:rsidP="00911A0C">
      <w:pPr>
        <w:ind w:left="1080"/>
        <w:rPr>
          <w:rFonts w:ascii="Arial" w:hAnsi="Arial" w:cs="Arial"/>
          <w:i/>
          <w:sz w:val="22"/>
          <w:szCs w:val="22"/>
        </w:rPr>
      </w:pPr>
      <w:r w:rsidRPr="001A625F">
        <w:rPr>
          <w:rFonts w:ascii="Arial" w:hAnsi="Arial" w:cs="Arial"/>
          <w:i/>
          <w:sz w:val="22"/>
          <w:szCs w:val="22"/>
        </w:rPr>
        <w:t>SLO 1:  Students will apply professional (discipline-specific) knowledge in an authentic setting.</w:t>
      </w:r>
    </w:p>
    <w:p w:rsidR="00911A0C" w:rsidRDefault="00911A0C" w:rsidP="00911A0C">
      <w:pPr>
        <w:ind w:left="1080"/>
        <w:rPr>
          <w:rFonts w:ascii="Arial" w:hAnsi="Arial" w:cs="Arial"/>
          <w:b/>
          <w:sz w:val="22"/>
          <w:szCs w:val="22"/>
        </w:rPr>
      </w:pPr>
    </w:p>
    <w:p w:rsidR="00911A0C" w:rsidRPr="001A625F" w:rsidRDefault="00911A0C" w:rsidP="00911A0C">
      <w:pPr>
        <w:ind w:left="360"/>
        <w:rPr>
          <w:rFonts w:ascii="Arial" w:hAnsi="Arial" w:cs="Arial"/>
          <w:b/>
          <w:sz w:val="22"/>
          <w:szCs w:val="22"/>
        </w:rPr>
      </w:pPr>
      <w:r>
        <w:rPr>
          <w:rFonts w:ascii="Arial" w:hAnsi="Arial" w:cs="Arial"/>
          <w:b/>
          <w:sz w:val="22"/>
          <w:szCs w:val="22"/>
        </w:rPr>
        <w:t xml:space="preserve">Suggested </w:t>
      </w:r>
      <w:r w:rsidRPr="001A625F">
        <w:rPr>
          <w:rFonts w:ascii="Arial" w:hAnsi="Arial" w:cs="Arial"/>
          <w:b/>
          <w:sz w:val="22"/>
          <w:szCs w:val="22"/>
        </w:rPr>
        <w:t>Assessment Activity:</w:t>
      </w:r>
    </w:p>
    <w:p w:rsidR="00911A0C" w:rsidRPr="004C75F9" w:rsidRDefault="00911A0C" w:rsidP="00911A0C">
      <w:pPr>
        <w:pStyle w:val="ListParagraph"/>
        <w:numPr>
          <w:ilvl w:val="0"/>
          <w:numId w:val="1"/>
        </w:numPr>
        <w:rPr>
          <w:rFonts w:ascii="Arial" w:hAnsi="Arial" w:cs="Arial"/>
          <w:sz w:val="22"/>
          <w:szCs w:val="22"/>
        </w:rPr>
      </w:pPr>
      <w:r w:rsidRPr="004C75F9">
        <w:rPr>
          <w:rFonts w:ascii="Arial" w:hAnsi="Arial" w:cs="Arial"/>
          <w:sz w:val="22"/>
          <w:szCs w:val="22"/>
        </w:rPr>
        <w:t>Students will describe how they applied knowledge from their curricula in the authentic setting through a written response to a reflection prompt.  All students will respond to the same prompt with submissions due at the end</w:t>
      </w:r>
      <w:r>
        <w:rPr>
          <w:rFonts w:ascii="Arial" w:hAnsi="Arial" w:cs="Arial"/>
          <w:sz w:val="22"/>
          <w:szCs w:val="22"/>
        </w:rPr>
        <w:t xml:space="preserve"> of the RWR experience and before</w:t>
      </w:r>
      <w:r w:rsidRPr="004C75F9">
        <w:rPr>
          <w:rFonts w:ascii="Arial" w:hAnsi="Arial" w:cs="Arial"/>
          <w:sz w:val="22"/>
          <w:szCs w:val="22"/>
        </w:rPr>
        <w:t xml:space="preserve"> the presentation of the communication activity (i.e. the ‘Work’).  Reflections will be submitted to the faculty supervisor and evaluated using the</w:t>
      </w:r>
      <w:r w:rsidRPr="00DE33E2">
        <w:rPr>
          <w:rFonts w:ascii="Arial" w:hAnsi="Arial" w:cs="Arial"/>
          <w:sz w:val="22"/>
          <w:szCs w:val="22"/>
        </w:rPr>
        <w:t xml:space="preserve"> </w:t>
      </w:r>
      <w:r>
        <w:rPr>
          <w:rFonts w:ascii="Arial" w:hAnsi="Arial" w:cs="Arial"/>
          <w:sz w:val="22"/>
          <w:szCs w:val="22"/>
        </w:rPr>
        <w:t>discipline-specific</w:t>
      </w:r>
      <w:r w:rsidRPr="004C75F9">
        <w:rPr>
          <w:rFonts w:ascii="Arial" w:hAnsi="Arial" w:cs="Arial"/>
          <w:sz w:val="22"/>
          <w:szCs w:val="22"/>
        </w:rPr>
        <w:t xml:space="preserve"> </w:t>
      </w:r>
      <w:r>
        <w:rPr>
          <w:rFonts w:ascii="Arial" w:hAnsi="Arial" w:cs="Arial"/>
          <w:sz w:val="22"/>
          <w:szCs w:val="22"/>
        </w:rPr>
        <w:t xml:space="preserve">rubric created for the </w:t>
      </w:r>
      <w:r w:rsidRPr="004C75F9">
        <w:rPr>
          <w:rFonts w:ascii="Arial" w:hAnsi="Arial" w:cs="Arial"/>
          <w:sz w:val="22"/>
          <w:szCs w:val="22"/>
        </w:rPr>
        <w:t>Connections to Experience</w:t>
      </w:r>
      <w:r>
        <w:rPr>
          <w:rFonts w:ascii="Arial" w:hAnsi="Arial" w:cs="Arial"/>
          <w:sz w:val="22"/>
          <w:szCs w:val="22"/>
        </w:rPr>
        <w:t xml:space="preserve"> dimensi</w:t>
      </w:r>
      <w:r w:rsidR="00DE14B9">
        <w:rPr>
          <w:rFonts w:ascii="Arial" w:hAnsi="Arial" w:cs="Arial"/>
          <w:sz w:val="22"/>
          <w:szCs w:val="22"/>
        </w:rPr>
        <w:t>on of the Master Rubric</w:t>
      </w:r>
      <w:r w:rsidRPr="004C75F9">
        <w:rPr>
          <w:rFonts w:ascii="Arial" w:hAnsi="Arial" w:cs="Arial"/>
          <w:sz w:val="22"/>
          <w:szCs w:val="22"/>
        </w:rPr>
        <w:t>. Evaluation will be done on a scale of 1 to 3 with 1 representing ‘misses expectations’ and 3 representing ‘exceeds expectations’. The achievement target for this measure</w:t>
      </w:r>
      <w:r>
        <w:rPr>
          <w:rFonts w:ascii="Arial" w:hAnsi="Arial" w:cs="Arial"/>
          <w:sz w:val="22"/>
          <w:szCs w:val="22"/>
        </w:rPr>
        <w:t xml:space="preserve"> is that </w:t>
      </w:r>
      <w:r w:rsidRPr="004C75F9">
        <w:rPr>
          <w:rFonts w:ascii="Arial" w:hAnsi="Arial" w:cs="Arial"/>
          <w:sz w:val="22"/>
          <w:szCs w:val="22"/>
        </w:rPr>
        <w:t xml:space="preserve">80% of the students will meet or exceed expectations for SLO 1. </w:t>
      </w:r>
    </w:p>
    <w:p w:rsidR="00911A0C" w:rsidRDefault="00911A0C" w:rsidP="00911A0C">
      <w:pPr>
        <w:ind w:left="720"/>
        <w:rPr>
          <w:rFonts w:ascii="Arial" w:hAnsi="Arial" w:cs="Arial"/>
          <w:i/>
          <w:sz w:val="22"/>
          <w:szCs w:val="22"/>
        </w:rPr>
      </w:pPr>
    </w:p>
    <w:p w:rsidR="00911A0C" w:rsidRPr="00891E8F" w:rsidRDefault="00911A0C" w:rsidP="00911A0C">
      <w:pPr>
        <w:ind w:left="1080"/>
        <w:rPr>
          <w:rFonts w:ascii="Arial" w:hAnsi="Arial" w:cs="Arial"/>
          <w:i/>
          <w:sz w:val="22"/>
          <w:szCs w:val="22"/>
        </w:rPr>
      </w:pPr>
      <w:r w:rsidRPr="00891E8F">
        <w:rPr>
          <w:rFonts w:ascii="Arial" w:hAnsi="Arial" w:cs="Arial"/>
          <w:i/>
          <w:sz w:val="22"/>
          <w:szCs w:val="22"/>
        </w:rPr>
        <w:t>Sample Prompt for SLO 1: Describe your Real-World Ready Experience.  Explain how you applied the knowledge acquired in your academic course(s) to this experience. Provide specific examples of connections made and insights gained.  Analyze the impact of your RWR experience on your academic understanding and your preparation for your chosen profession.</w:t>
      </w:r>
    </w:p>
    <w:p w:rsidR="00911A0C" w:rsidRPr="00C56240" w:rsidRDefault="00911A0C" w:rsidP="00911A0C">
      <w:pPr>
        <w:pStyle w:val="ListParagraph"/>
        <w:spacing w:after="200" w:line="276" w:lineRule="auto"/>
        <w:ind w:left="1080"/>
        <w:rPr>
          <w:rFonts w:ascii="Arial" w:hAnsi="Arial" w:cs="Arial"/>
          <w:i/>
          <w:sz w:val="22"/>
          <w:szCs w:val="22"/>
        </w:rPr>
      </w:pPr>
    </w:p>
    <w:p w:rsidR="00911A0C" w:rsidRPr="004C75F9" w:rsidRDefault="00911A0C" w:rsidP="00911A0C">
      <w:pPr>
        <w:pStyle w:val="ListParagraph"/>
        <w:numPr>
          <w:ilvl w:val="0"/>
          <w:numId w:val="1"/>
        </w:numPr>
        <w:rPr>
          <w:rFonts w:ascii="Arial" w:hAnsi="Arial" w:cs="Arial"/>
          <w:sz w:val="22"/>
          <w:szCs w:val="22"/>
        </w:rPr>
      </w:pPr>
      <w:r w:rsidRPr="004C75F9">
        <w:rPr>
          <w:rFonts w:ascii="Arial" w:hAnsi="Arial" w:cs="Arial"/>
          <w:sz w:val="22"/>
          <w:szCs w:val="22"/>
        </w:rPr>
        <w:t>Through observed behavior, site supervisors will complete an evaluation of each student using the</w:t>
      </w:r>
      <w:r w:rsidRPr="00DE33E2">
        <w:rPr>
          <w:rFonts w:ascii="Arial" w:hAnsi="Arial" w:cs="Arial"/>
          <w:sz w:val="22"/>
          <w:szCs w:val="22"/>
        </w:rPr>
        <w:t xml:space="preserve"> </w:t>
      </w:r>
      <w:r>
        <w:rPr>
          <w:rFonts w:ascii="Arial" w:hAnsi="Arial" w:cs="Arial"/>
          <w:sz w:val="22"/>
          <w:szCs w:val="22"/>
        </w:rPr>
        <w:t>discipline-specific</w:t>
      </w:r>
      <w:r w:rsidRPr="004C75F9">
        <w:rPr>
          <w:rFonts w:ascii="Arial" w:hAnsi="Arial" w:cs="Arial"/>
          <w:sz w:val="22"/>
          <w:szCs w:val="22"/>
        </w:rPr>
        <w:t xml:space="preserve"> </w:t>
      </w:r>
      <w:r>
        <w:rPr>
          <w:rFonts w:ascii="Arial" w:hAnsi="Arial" w:cs="Arial"/>
          <w:sz w:val="22"/>
          <w:szCs w:val="22"/>
        </w:rPr>
        <w:t xml:space="preserve">rubric created for the </w:t>
      </w:r>
      <w:r w:rsidRPr="004C75F9">
        <w:rPr>
          <w:rFonts w:ascii="Arial" w:hAnsi="Arial" w:cs="Arial"/>
          <w:sz w:val="22"/>
          <w:szCs w:val="22"/>
        </w:rPr>
        <w:t>Professional Performance</w:t>
      </w:r>
      <w:r>
        <w:rPr>
          <w:rFonts w:ascii="Arial" w:hAnsi="Arial" w:cs="Arial"/>
          <w:sz w:val="22"/>
          <w:szCs w:val="22"/>
        </w:rPr>
        <w:t xml:space="preserve"> </w:t>
      </w:r>
      <w:r w:rsidR="00DE14B9">
        <w:rPr>
          <w:rFonts w:ascii="Arial" w:hAnsi="Arial" w:cs="Arial"/>
          <w:sz w:val="22"/>
          <w:szCs w:val="22"/>
        </w:rPr>
        <w:t>dimension of the Master Rubric</w:t>
      </w:r>
      <w:r w:rsidRPr="004C75F9">
        <w:rPr>
          <w:rFonts w:ascii="Arial" w:hAnsi="Arial" w:cs="Arial"/>
          <w:sz w:val="22"/>
          <w:szCs w:val="22"/>
        </w:rPr>
        <w:t>. Site supervisors will complete the evaluations and submit to the faculty member within one week of the end of the experience. The achievement target for this measure</w:t>
      </w:r>
      <w:r>
        <w:rPr>
          <w:rFonts w:ascii="Arial" w:hAnsi="Arial" w:cs="Arial"/>
          <w:sz w:val="22"/>
          <w:szCs w:val="22"/>
        </w:rPr>
        <w:t xml:space="preserve"> is that </w:t>
      </w:r>
      <w:r w:rsidRPr="004C75F9">
        <w:rPr>
          <w:rFonts w:ascii="Arial" w:hAnsi="Arial" w:cs="Arial"/>
          <w:sz w:val="22"/>
          <w:szCs w:val="22"/>
        </w:rPr>
        <w:t xml:space="preserve">80% of the students will meet or exceed expectations for SLO 1. </w:t>
      </w:r>
    </w:p>
    <w:p w:rsidR="00911A0C" w:rsidRPr="001A625F" w:rsidRDefault="00911A0C" w:rsidP="00911A0C">
      <w:pPr>
        <w:rPr>
          <w:rFonts w:ascii="Arial" w:hAnsi="Arial" w:cs="Arial"/>
          <w:sz w:val="22"/>
          <w:szCs w:val="22"/>
        </w:rPr>
      </w:pPr>
    </w:p>
    <w:p w:rsidR="00911A0C" w:rsidRPr="004C75F9" w:rsidRDefault="00911A0C" w:rsidP="00911A0C">
      <w:pPr>
        <w:pStyle w:val="ListParagraph"/>
        <w:numPr>
          <w:ilvl w:val="0"/>
          <w:numId w:val="4"/>
        </w:numPr>
        <w:rPr>
          <w:rFonts w:ascii="Arial" w:hAnsi="Arial" w:cs="Arial"/>
          <w:b/>
          <w:sz w:val="22"/>
          <w:szCs w:val="22"/>
        </w:rPr>
      </w:pPr>
      <w:r w:rsidRPr="004C75F9">
        <w:rPr>
          <w:rFonts w:ascii="Arial" w:hAnsi="Arial" w:cs="Arial"/>
          <w:b/>
          <w:sz w:val="22"/>
          <w:szCs w:val="22"/>
        </w:rPr>
        <w:t xml:space="preserve">The Work </w:t>
      </w:r>
      <w:r w:rsidRPr="004C75F9">
        <w:rPr>
          <w:rFonts w:ascii="Arial" w:hAnsi="Arial" w:cs="Arial"/>
          <w:sz w:val="22"/>
          <w:szCs w:val="22"/>
        </w:rPr>
        <w:t xml:space="preserve">refers to the performance/act/product by which the student communicates information on the experience in a method in line with the discipline (such as an oral presentation, an essay, a video, a graphic design, etc.). </w:t>
      </w:r>
    </w:p>
    <w:p w:rsidR="00911A0C" w:rsidRPr="001A625F" w:rsidRDefault="00911A0C" w:rsidP="00911A0C">
      <w:pPr>
        <w:ind w:left="1080"/>
        <w:rPr>
          <w:rFonts w:ascii="Arial" w:hAnsi="Arial" w:cs="Arial"/>
          <w:i/>
          <w:sz w:val="22"/>
          <w:szCs w:val="22"/>
        </w:rPr>
      </w:pPr>
      <w:r w:rsidRPr="001A625F">
        <w:rPr>
          <w:rFonts w:ascii="Arial" w:hAnsi="Arial" w:cs="Arial"/>
          <w:i/>
          <w:sz w:val="22"/>
          <w:szCs w:val="22"/>
        </w:rPr>
        <w:t>SLO 2:  Student will demonstrate effective communication in a professionally authentic form.</w:t>
      </w:r>
    </w:p>
    <w:p w:rsidR="00911A0C" w:rsidRPr="001A625F" w:rsidRDefault="00911A0C" w:rsidP="00911A0C">
      <w:pPr>
        <w:ind w:left="1080"/>
        <w:rPr>
          <w:rFonts w:ascii="Arial" w:hAnsi="Arial" w:cs="Arial"/>
          <w:i/>
          <w:sz w:val="22"/>
          <w:szCs w:val="22"/>
        </w:rPr>
      </w:pPr>
      <w:r w:rsidRPr="001A625F">
        <w:rPr>
          <w:rFonts w:ascii="Arial" w:hAnsi="Arial" w:cs="Arial"/>
          <w:i/>
          <w:sz w:val="22"/>
          <w:szCs w:val="22"/>
        </w:rPr>
        <w:t>SLO 3:  Student will reflect on the work, identifying strengths and weaknesses of product and process, and deriving directions for future efforts.</w:t>
      </w:r>
    </w:p>
    <w:p w:rsidR="00911A0C" w:rsidRDefault="00911A0C" w:rsidP="00911A0C">
      <w:pPr>
        <w:ind w:left="1080"/>
        <w:rPr>
          <w:rFonts w:ascii="Arial" w:hAnsi="Arial" w:cs="Arial"/>
          <w:b/>
          <w:sz w:val="22"/>
          <w:szCs w:val="22"/>
        </w:rPr>
      </w:pPr>
    </w:p>
    <w:p w:rsidR="00911A0C" w:rsidRDefault="00911A0C" w:rsidP="00911A0C">
      <w:pPr>
        <w:rPr>
          <w:rFonts w:ascii="Arial" w:hAnsi="Arial" w:cs="Arial"/>
          <w:b/>
          <w:sz w:val="22"/>
          <w:szCs w:val="22"/>
        </w:rPr>
      </w:pPr>
    </w:p>
    <w:p w:rsidR="00911A0C" w:rsidRPr="001A625F" w:rsidRDefault="00911A0C" w:rsidP="00911A0C">
      <w:pPr>
        <w:rPr>
          <w:rFonts w:ascii="Arial" w:hAnsi="Arial" w:cs="Arial"/>
          <w:b/>
          <w:sz w:val="22"/>
          <w:szCs w:val="22"/>
        </w:rPr>
      </w:pPr>
      <w:r>
        <w:rPr>
          <w:rFonts w:ascii="Arial" w:hAnsi="Arial" w:cs="Arial"/>
          <w:b/>
          <w:sz w:val="22"/>
          <w:szCs w:val="22"/>
        </w:rPr>
        <w:t xml:space="preserve">Suggested </w:t>
      </w:r>
      <w:r w:rsidRPr="001A625F">
        <w:rPr>
          <w:rFonts w:ascii="Arial" w:hAnsi="Arial" w:cs="Arial"/>
          <w:b/>
          <w:sz w:val="22"/>
          <w:szCs w:val="22"/>
        </w:rPr>
        <w:t>Assessment Activity:</w:t>
      </w:r>
    </w:p>
    <w:p w:rsidR="00911A0C" w:rsidRDefault="00911A0C" w:rsidP="00911A0C">
      <w:pPr>
        <w:pStyle w:val="ListParagraph"/>
        <w:numPr>
          <w:ilvl w:val="0"/>
          <w:numId w:val="2"/>
        </w:numPr>
        <w:rPr>
          <w:rFonts w:ascii="Arial" w:hAnsi="Arial" w:cs="Arial"/>
          <w:sz w:val="22"/>
          <w:szCs w:val="22"/>
        </w:rPr>
      </w:pPr>
      <w:r w:rsidRPr="002C24B4">
        <w:rPr>
          <w:rFonts w:ascii="Arial" w:hAnsi="Arial" w:cs="Arial"/>
          <w:sz w:val="22"/>
          <w:szCs w:val="22"/>
        </w:rPr>
        <w:t xml:space="preserve">The faculty supervisor evaluates ‘the work’ (the discipline appropriate method by which the student communicates information on the experience) using the </w:t>
      </w:r>
      <w:r>
        <w:rPr>
          <w:rFonts w:ascii="Arial" w:hAnsi="Arial" w:cs="Arial"/>
          <w:sz w:val="22"/>
          <w:szCs w:val="22"/>
        </w:rPr>
        <w:t xml:space="preserve">discipline-specific rubric created for the </w:t>
      </w:r>
      <w:r w:rsidRPr="002C24B4">
        <w:rPr>
          <w:rFonts w:ascii="Arial" w:hAnsi="Arial" w:cs="Arial"/>
          <w:sz w:val="22"/>
          <w:szCs w:val="22"/>
        </w:rPr>
        <w:t>Integrated Communication</w:t>
      </w:r>
      <w:r>
        <w:rPr>
          <w:rFonts w:ascii="Arial" w:hAnsi="Arial" w:cs="Arial"/>
          <w:sz w:val="22"/>
          <w:szCs w:val="22"/>
        </w:rPr>
        <w:t xml:space="preserve"> </w:t>
      </w:r>
      <w:r w:rsidR="00DE14B9">
        <w:rPr>
          <w:rFonts w:ascii="Arial" w:hAnsi="Arial" w:cs="Arial"/>
          <w:sz w:val="22"/>
          <w:szCs w:val="22"/>
        </w:rPr>
        <w:t>dimension of the Master Rubric</w:t>
      </w:r>
      <w:r w:rsidRPr="004C75F9">
        <w:rPr>
          <w:rFonts w:ascii="Arial" w:hAnsi="Arial" w:cs="Arial"/>
          <w:sz w:val="22"/>
          <w:szCs w:val="22"/>
        </w:rPr>
        <w:t>.</w:t>
      </w:r>
      <w:r w:rsidRPr="002C24B4">
        <w:rPr>
          <w:rFonts w:ascii="Arial" w:hAnsi="Arial" w:cs="Arial"/>
          <w:sz w:val="22"/>
          <w:szCs w:val="22"/>
        </w:rPr>
        <w:t xml:space="preserve"> </w:t>
      </w:r>
      <w:r w:rsidRPr="002C24B4">
        <w:rPr>
          <w:rFonts w:ascii="Arial" w:hAnsi="Arial" w:cs="Arial"/>
          <w:sz w:val="22"/>
          <w:szCs w:val="22"/>
        </w:rPr>
        <w:lastRenderedPageBreak/>
        <w:t xml:space="preserve">Evaluation will be done on a scale of 1 to 3 with 1 representing ‘misses expectations’ and 3 representing ‘exceeds expectations’.  The achievement target for this measure </w:t>
      </w:r>
      <w:r>
        <w:rPr>
          <w:rFonts w:ascii="Arial" w:hAnsi="Arial" w:cs="Arial"/>
          <w:sz w:val="22"/>
          <w:szCs w:val="22"/>
        </w:rPr>
        <w:t xml:space="preserve">is that </w:t>
      </w:r>
      <w:r w:rsidRPr="002C24B4">
        <w:rPr>
          <w:rFonts w:ascii="Arial" w:hAnsi="Arial" w:cs="Arial"/>
          <w:sz w:val="22"/>
          <w:szCs w:val="22"/>
        </w:rPr>
        <w:t xml:space="preserve">80% of the students will meet or exceed expectations for SLO 2. </w:t>
      </w:r>
    </w:p>
    <w:p w:rsidR="00911A0C" w:rsidRPr="002C24B4" w:rsidRDefault="00911A0C" w:rsidP="00911A0C">
      <w:pPr>
        <w:pStyle w:val="ListParagraph"/>
        <w:rPr>
          <w:rFonts w:ascii="Arial" w:hAnsi="Arial" w:cs="Arial"/>
          <w:sz w:val="22"/>
          <w:szCs w:val="22"/>
        </w:rPr>
      </w:pPr>
    </w:p>
    <w:p w:rsidR="00911A0C" w:rsidRPr="004C75F9" w:rsidRDefault="00911A0C" w:rsidP="00911A0C">
      <w:pPr>
        <w:pStyle w:val="ListParagraph"/>
        <w:numPr>
          <w:ilvl w:val="0"/>
          <w:numId w:val="2"/>
        </w:numPr>
        <w:rPr>
          <w:rFonts w:ascii="Arial" w:hAnsi="Arial" w:cs="Arial"/>
          <w:sz w:val="22"/>
          <w:szCs w:val="22"/>
        </w:rPr>
      </w:pPr>
      <w:r w:rsidRPr="004C75F9">
        <w:rPr>
          <w:rFonts w:ascii="Arial" w:hAnsi="Arial" w:cs="Arial"/>
          <w:sz w:val="22"/>
          <w:szCs w:val="22"/>
        </w:rPr>
        <w:t xml:space="preserve">Students will reflect on ‘the work’ via a written response to a reflection prompt.  All students will respond to the same prompt with submissions due after the presentation of the communication activity (i.e. the ‘Work’).  Reflections will be submitted to the faculty supervisor and evaluated using the </w:t>
      </w:r>
      <w:r>
        <w:rPr>
          <w:rFonts w:ascii="Arial" w:hAnsi="Arial" w:cs="Arial"/>
          <w:sz w:val="22"/>
          <w:szCs w:val="22"/>
        </w:rPr>
        <w:t xml:space="preserve">discipline-specific rubric created for the </w:t>
      </w:r>
      <w:r w:rsidRPr="004C75F9">
        <w:rPr>
          <w:rFonts w:ascii="Arial" w:hAnsi="Arial" w:cs="Arial"/>
          <w:sz w:val="22"/>
          <w:szCs w:val="22"/>
        </w:rPr>
        <w:t>Self-Assessment</w:t>
      </w:r>
      <w:r>
        <w:rPr>
          <w:rFonts w:ascii="Arial" w:hAnsi="Arial" w:cs="Arial"/>
          <w:sz w:val="22"/>
          <w:szCs w:val="22"/>
        </w:rPr>
        <w:t xml:space="preserve"> </w:t>
      </w:r>
      <w:r w:rsidR="00DE14B9">
        <w:rPr>
          <w:rFonts w:ascii="Arial" w:hAnsi="Arial" w:cs="Arial"/>
          <w:sz w:val="22"/>
          <w:szCs w:val="22"/>
        </w:rPr>
        <w:t>dimension of the Master Rubric</w:t>
      </w:r>
      <w:r w:rsidRPr="004C75F9">
        <w:rPr>
          <w:rFonts w:ascii="Arial" w:hAnsi="Arial" w:cs="Arial"/>
          <w:sz w:val="22"/>
          <w:szCs w:val="22"/>
        </w:rPr>
        <w:t>. Evaluation will be done on a scale of 1 to 3 with 1 representing ‘misses expectations’ and 3 representing ‘exceeds expectations’.  The achievement target for this measure</w:t>
      </w:r>
      <w:r>
        <w:rPr>
          <w:rFonts w:ascii="Arial" w:hAnsi="Arial" w:cs="Arial"/>
          <w:sz w:val="22"/>
          <w:szCs w:val="22"/>
        </w:rPr>
        <w:t xml:space="preserve"> is that </w:t>
      </w:r>
      <w:r w:rsidRPr="004C75F9">
        <w:rPr>
          <w:rFonts w:ascii="Arial" w:hAnsi="Arial" w:cs="Arial"/>
          <w:sz w:val="22"/>
          <w:szCs w:val="22"/>
        </w:rPr>
        <w:t xml:space="preserve">80% of the students will meet or exceed expectations for SLO </w:t>
      </w:r>
      <w:r>
        <w:rPr>
          <w:rFonts w:ascii="Arial" w:hAnsi="Arial" w:cs="Arial"/>
          <w:sz w:val="22"/>
          <w:szCs w:val="22"/>
        </w:rPr>
        <w:t>3</w:t>
      </w:r>
      <w:r w:rsidRPr="004C75F9">
        <w:rPr>
          <w:rFonts w:ascii="Arial" w:hAnsi="Arial" w:cs="Arial"/>
          <w:sz w:val="22"/>
          <w:szCs w:val="22"/>
        </w:rPr>
        <w:t xml:space="preserve">. </w:t>
      </w:r>
    </w:p>
    <w:p w:rsidR="00911A0C" w:rsidRDefault="00911A0C" w:rsidP="00911A0C">
      <w:pPr>
        <w:ind w:left="1080"/>
        <w:rPr>
          <w:rFonts w:ascii="Arial" w:hAnsi="Arial" w:cs="Arial"/>
          <w:i/>
          <w:sz w:val="22"/>
          <w:szCs w:val="22"/>
        </w:rPr>
      </w:pPr>
    </w:p>
    <w:p w:rsidR="00911A0C" w:rsidRPr="005D0A7A" w:rsidRDefault="00911A0C" w:rsidP="00911A0C">
      <w:pPr>
        <w:ind w:left="1080"/>
        <w:rPr>
          <w:rFonts w:ascii="Arial" w:hAnsi="Arial" w:cs="Arial"/>
          <w:i/>
          <w:sz w:val="22"/>
          <w:szCs w:val="22"/>
        </w:rPr>
      </w:pPr>
      <w:r w:rsidRPr="005D0A7A">
        <w:rPr>
          <w:rFonts w:ascii="Arial" w:hAnsi="Arial" w:cs="Arial"/>
          <w:i/>
          <w:sz w:val="22"/>
          <w:szCs w:val="22"/>
        </w:rPr>
        <w:t xml:space="preserve">Sample Prompt for SLO 3: Explain how your ‘work’ embodies the culmination of your coursework and RWR experience and serves as an appropriate communication. Examine both the development and presentation of your work and expand on strengths and weaknesses.  Articulate the value added for both you and your audience/reader. </w:t>
      </w:r>
    </w:p>
    <w:p w:rsidR="00911A0C" w:rsidRPr="00C56240" w:rsidRDefault="00911A0C" w:rsidP="00911A0C">
      <w:pPr>
        <w:pStyle w:val="ListParagraph"/>
        <w:spacing w:after="200" w:line="276" w:lineRule="auto"/>
        <w:ind w:left="1440"/>
        <w:rPr>
          <w:rFonts w:ascii="Arial" w:hAnsi="Arial" w:cs="Arial"/>
          <w:i/>
          <w:sz w:val="22"/>
          <w:szCs w:val="22"/>
        </w:rPr>
      </w:pPr>
    </w:p>
    <w:p w:rsidR="00911A0C" w:rsidRPr="004C75F9" w:rsidRDefault="00911A0C" w:rsidP="00911A0C">
      <w:pPr>
        <w:pStyle w:val="ListParagraph"/>
        <w:numPr>
          <w:ilvl w:val="0"/>
          <w:numId w:val="4"/>
        </w:numPr>
        <w:rPr>
          <w:rFonts w:ascii="Arial" w:hAnsi="Arial" w:cs="Arial"/>
          <w:b/>
          <w:sz w:val="22"/>
          <w:szCs w:val="22"/>
        </w:rPr>
      </w:pPr>
      <w:r w:rsidRPr="004C75F9">
        <w:rPr>
          <w:rFonts w:ascii="Arial" w:hAnsi="Arial" w:cs="Arial"/>
          <w:b/>
          <w:sz w:val="22"/>
          <w:szCs w:val="22"/>
        </w:rPr>
        <w:t xml:space="preserve">The Behavior </w:t>
      </w:r>
      <w:r w:rsidRPr="004C75F9">
        <w:rPr>
          <w:rFonts w:ascii="Arial" w:hAnsi="Arial" w:cs="Arial"/>
          <w:sz w:val="22"/>
          <w:szCs w:val="22"/>
        </w:rPr>
        <w:t>refers to the actions, conduct and performance of the student throughout the course and the RWR experience.</w:t>
      </w:r>
    </w:p>
    <w:p w:rsidR="00911A0C" w:rsidRDefault="00911A0C" w:rsidP="00911A0C">
      <w:pPr>
        <w:ind w:left="1080"/>
        <w:rPr>
          <w:rFonts w:ascii="Arial" w:hAnsi="Arial" w:cs="Arial"/>
          <w:i/>
          <w:sz w:val="22"/>
          <w:szCs w:val="22"/>
        </w:rPr>
      </w:pPr>
      <w:r w:rsidRPr="001A625F">
        <w:rPr>
          <w:rFonts w:ascii="Arial" w:hAnsi="Arial" w:cs="Arial"/>
          <w:i/>
          <w:sz w:val="22"/>
          <w:szCs w:val="22"/>
        </w:rPr>
        <w:t>SLO 4:  Student</w:t>
      </w:r>
      <w:r>
        <w:rPr>
          <w:rFonts w:ascii="Arial" w:hAnsi="Arial" w:cs="Arial"/>
          <w:i/>
          <w:sz w:val="22"/>
          <w:szCs w:val="22"/>
        </w:rPr>
        <w:t>s’ professional</w:t>
      </w:r>
      <w:r w:rsidRPr="001A625F">
        <w:rPr>
          <w:rFonts w:ascii="Arial" w:hAnsi="Arial" w:cs="Arial"/>
          <w:i/>
          <w:sz w:val="22"/>
          <w:szCs w:val="22"/>
        </w:rPr>
        <w:t xml:space="preserve"> behavior</w:t>
      </w:r>
      <w:r>
        <w:rPr>
          <w:rFonts w:ascii="Arial" w:hAnsi="Arial" w:cs="Arial"/>
          <w:i/>
          <w:sz w:val="22"/>
          <w:szCs w:val="22"/>
        </w:rPr>
        <w:t>s</w:t>
      </w:r>
      <w:r w:rsidRPr="001A625F">
        <w:rPr>
          <w:rFonts w:ascii="Arial" w:hAnsi="Arial" w:cs="Arial"/>
          <w:i/>
          <w:sz w:val="22"/>
          <w:szCs w:val="22"/>
        </w:rPr>
        <w:t xml:space="preserve"> reflect</w:t>
      </w:r>
      <w:r>
        <w:rPr>
          <w:rFonts w:ascii="Arial" w:hAnsi="Arial" w:cs="Arial"/>
          <w:i/>
          <w:sz w:val="22"/>
          <w:szCs w:val="22"/>
        </w:rPr>
        <w:t xml:space="preserve"> a </w:t>
      </w:r>
      <w:r w:rsidRPr="001A625F">
        <w:rPr>
          <w:rFonts w:ascii="Arial" w:hAnsi="Arial" w:cs="Arial"/>
          <w:i/>
          <w:sz w:val="22"/>
          <w:szCs w:val="22"/>
        </w:rPr>
        <w:t>commitment to quality work.</w:t>
      </w:r>
    </w:p>
    <w:p w:rsidR="00911A0C" w:rsidRPr="001A625F" w:rsidRDefault="00911A0C" w:rsidP="00911A0C">
      <w:pPr>
        <w:ind w:left="1080"/>
        <w:rPr>
          <w:rFonts w:ascii="Arial" w:hAnsi="Arial" w:cs="Arial"/>
          <w:i/>
          <w:sz w:val="22"/>
          <w:szCs w:val="22"/>
        </w:rPr>
      </w:pPr>
    </w:p>
    <w:p w:rsidR="00911A0C" w:rsidRPr="001A625F" w:rsidRDefault="00911A0C" w:rsidP="00911A0C">
      <w:pPr>
        <w:ind w:left="360"/>
        <w:rPr>
          <w:rFonts w:ascii="Arial" w:hAnsi="Arial" w:cs="Arial"/>
          <w:b/>
          <w:sz w:val="22"/>
          <w:szCs w:val="22"/>
        </w:rPr>
      </w:pPr>
      <w:r>
        <w:rPr>
          <w:rFonts w:ascii="Arial" w:hAnsi="Arial" w:cs="Arial"/>
          <w:b/>
          <w:sz w:val="22"/>
          <w:szCs w:val="22"/>
        </w:rPr>
        <w:t xml:space="preserve">Suggested </w:t>
      </w:r>
      <w:r w:rsidRPr="001A625F">
        <w:rPr>
          <w:rFonts w:ascii="Arial" w:hAnsi="Arial" w:cs="Arial"/>
          <w:b/>
          <w:sz w:val="22"/>
          <w:szCs w:val="22"/>
        </w:rPr>
        <w:t>Assessment Activity:</w:t>
      </w:r>
    </w:p>
    <w:p w:rsidR="00911A0C" w:rsidRPr="004C75F9" w:rsidRDefault="00911A0C" w:rsidP="00911A0C">
      <w:pPr>
        <w:pStyle w:val="ListParagraph"/>
        <w:numPr>
          <w:ilvl w:val="0"/>
          <w:numId w:val="3"/>
        </w:numPr>
        <w:rPr>
          <w:rFonts w:ascii="Arial" w:hAnsi="Arial" w:cs="Arial"/>
          <w:sz w:val="22"/>
          <w:szCs w:val="22"/>
        </w:rPr>
      </w:pPr>
      <w:r w:rsidRPr="004C75F9">
        <w:rPr>
          <w:rFonts w:ascii="Arial" w:hAnsi="Arial" w:cs="Arial"/>
          <w:sz w:val="22"/>
          <w:szCs w:val="22"/>
        </w:rPr>
        <w:t xml:space="preserve">The faculty supervisor evaluates the </w:t>
      </w:r>
      <w:r>
        <w:rPr>
          <w:rFonts w:ascii="Arial" w:hAnsi="Arial" w:cs="Arial"/>
          <w:sz w:val="22"/>
          <w:szCs w:val="22"/>
        </w:rPr>
        <w:t xml:space="preserve">professional </w:t>
      </w:r>
      <w:r w:rsidRPr="004C75F9">
        <w:rPr>
          <w:rFonts w:ascii="Arial" w:hAnsi="Arial" w:cs="Arial"/>
          <w:sz w:val="22"/>
          <w:szCs w:val="22"/>
        </w:rPr>
        <w:t xml:space="preserve">behavior of the student throughout the course and RWR experience using the </w:t>
      </w:r>
      <w:r>
        <w:rPr>
          <w:rFonts w:ascii="Arial" w:hAnsi="Arial" w:cs="Arial"/>
          <w:sz w:val="22"/>
          <w:szCs w:val="22"/>
        </w:rPr>
        <w:t xml:space="preserve">discipline-specific rubric created for the </w:t>
      </w:r>
      <w:r w:rsidRPr="004C75F9">
        <w:rPr>
          <w:rFonts w:ascii="Arial" w:hAnsi="Arial" w:cs="Arial"/>
          <w:sz w:val="22"/>
          <w:szCs w:val="22"/>
        </w:rPr>
        <w:t>Student Behavior</w:t>
      </w:r>
      <w:r>
        <w:rPr>
          <w:rFonts w:ascii="Arial" w:hAnsi="Arial" w:cs="Arial"/>
          <w:sz w:val="22"/>
          <w:szCs w:val="22"/>
        </w:rPr>
        <w:t xml:space="preserve"> </w:t>
      </w:r>
      <w:r w:rsidR="00DE14B9">
        <w:rPr>
          <w:rFonts w:ascii="Arial" w:hAnsi="Arial" w:cs="Arial"/>
          <w:sz w:val="22"/>
          <w:szCs w:val="22"/>
        </w:rPr>
        <w:t>dimension of the Master Rubric</w:t>
      </w:r>
      <w:r w:rsidRPr="004C75F9">
        <w:rPr>
          <w:rFonts w:ascii="Arial" w:hAnsi="Arial" w:cs="Arial"/>
          <w:sz w:val="22"/>
          <w:szCs w:val="22"/>
        </w:rPr>
        <w:t>.</w:t>
      </w:r>
      <w:r>
        <w:rPr>
          <w:rFonts w:ascii="Arial" w:hAnsi="Arial" w:cs="Arial"/>
          <w:sz w:val="22"/>
          <w:szCs w:val="22"/>
        </w:rPr>
        <w:t xml:space="preserve"> </w:t>
      </w:r>
      <w:r w:rsidRPr="004C75F9">
        <w:rPr>
          <w:rFonts w:ascii="Arial" w:hAnsi="Arial" w:cs="Arial"/>
          <w:sz w:val="22"/>
          <w:szCs w:val="22"/>
        </w:rPr>
        <w:t>Evaluation will be done on a scale of 1 to 3 with 1 representing ‘misses expectations’ and 3 representing ‘exceeds expectations’.  The achievement target for this measure</w:t>
      </w:r>
      <w:r>
        <w:rPr>
          <w:rFonts w:ascii="Arial" w:hAnsi="Arial" w:cs="Arial"/>
          <w:sz w:val="22"/>
          <w:szCs w:val="22"/>
        </w:rPr>
        <w:t xml:space="preserve"> is </w:t>
      </w:r>
      <w:r w:rsidRPr="004C75F9">
        <w:rPr>
          <w:rFonts w:ascii="Arial" w:hAnsi="Arial" w:cs="Arial"/>
          <w:sz w:val="22"/>
          <w:szCs w:val="22"/>
        </w:rPr>
        <w:t xml:space="preserve">80% of the students will meet or exceed expectations for SLO </w:t>
      </w:r>
      <w:r>
        <w:rPr>
          <w:rFonts w:ascii="Arial" w:hAnsi="Arial" w:cs="Arial"/>
          <w:sz w:val="22"/>
          <w:szCs w:val="22"/>
        </w:rPr>
        <w:t>4</w:t>
      </w:r>
      <w:r w:rsidRPr="004C75F9">
        <w:rPr>
          <w:rFonts w:ascii="Arial" w:hAnsi="Arial" w:cs="Arial"/>
          <w:sz w:val="22"/>
          <w:szCs w:val="22"/>
        </w:rPr>
        <w:t xml:space="preserve">. </w:t>
      </w:r>
    </w:p>
    <w:p w:rsidR="00911A0C" w:rsidRPr="00645E88" w:rsidRDefault="00911A0C" w:rsidP="00911A0C">
      <w:pPr>
        <w:rPr>
          <w:rFonts w:ascii="Arial" w:hAnsi="Arial" w:cs="Arial"/>
          <w:sz w:val="22"/>
          <w:szCs w:val="22"/>
        </w:rPr>
      </w:pPr>
    </w:p>
    <w:p w:rsidR="00911A0C" w:rsidRDefault="00911A0C" w:rsidP="00911A0C">
      <w:pPr>
        <w:pStyle w:val="ListParagraph"/>
        <w:numPr>
          <w:ilvl w:val="0"/>
          <w:numId w:val="3"/>
        </w:numPr>
        <w:spacing w:after="200" w:line="276" w:lineRule="auto"/>
        <w:rPr>
          <w:rFonts w:ascii="Arial" w:hAnsi="Arial" w:cs="Arial"/>
          <w:sz w:val="22"/>
          <w:szCs w:val="22"/>
        </w:rPr>
      </w:pPr>
      <w:r w:rsidRPr="002C24B4">
        <w:rPr>
          <w:rFonts w:ascii="Arial" w:hAnsi="Arial" w:cs="Arial"/>
          <w:sz w:val="22"/>
          <w:szCs w:val="22"/>
        </w:rPr>
        <w:t>Site supervisors</w:t>
      </w:r>
      <w:r>
        <w:rPr>
          <w:rFonts w:ascii="Arial" w:hAnsi="Arial" w:cs="Arial"/>
          <w:sz w:val="22"/>
          <w:szCs w:val="22"/>
        </w:rPr>
        <w:t xml:space="preserve"> (when applicable)</w:t>
      </w:r>
      <w:r w:rsidRPr="002C24B4">
        <w:rPr>
          <w:rFonts w:ascii="Arial" w:hAnsi="Arial" w:cs="Arial"/>
          <w:sz w:val="22"/>
          <w:szCs w:val="22"/>
        </w:rPr>
        <w:t xml:space="preserve"> evaluate the student’s professional behavior in the real-world setting using the </w:t>
      </w:r>
      <w:r>
        <w:rPr>
          <w:rFonts w:ascii="Arial" w:hAnsi="Arial" w:cs="Arial"/>
          <w:sz w:val="22"/>
          <w:szCs w:val="22"/>
        </w:rPr>
        <w:t xml:space="preserve">discipline-specific rubric created for the </w:t>
      </w:r>
      <w:r w:rsidRPr="002C24B4">
        <w:rPr>
          <w:rFonts w:ascii="Arial" w:hAnsi="Arial" w:cs="Arial"/>
          <w:sz w:val="22"/>
          <w:szCs w:val="22"/>
        </w:rPr>
        <w:t xml:space="preserve">Student Behavior </w:t>
      </w:r>
      <w:r w:rsidR="00DE14B9">
        <w:rPr>
          <w:rFonts w:ascii="Arial" w:hAnsi="Arial" w:cs="Arial"/>
          <w:sz w:val="22"/>
          <w:szCs w:val="22"/>
        </w:rPr>
        <w:t>dimension of the Master Rubric</w:t>
      </w:r>
      <w:r w:rsidRPr="004C75F9">
        <w:rPr>
          <w:rFonts w:ascii="Arial" w:hAnsi="Arial" w:cs="Arial"/>
          <w:sz w:val="22"/>
          <w:szCs w:val="22"/>
        </w:rPr>
        <w:t>.</w:t>
      </w:r>
      <w:r>
        <w:rPr>
          <w:rFonts w:ascii="Arial" w:hAnsi="Arial" w:cs="Arial"/>
          <w:sz w:val="22"/>
          <w:szCs w:val="22"/>
        </w:rPr>
        <w:t xml:space="preserve"> </w:t>
      </w:r>
      <w:r w:rsidRPr="002C24B4">
        <w:rPr>
          <w:rFonts w:ascii="Arial" w:hAnsi="Arial" w:cs="Arial"/>
          <w:sz w:val="22"/>
          <w:szCs w:val="22"/>
        </w:rPr>
        <w:t xml:space="preserve">Site supervisors will complete the evaluations and submit to the faculty member within one week of the end of the experience. The achievement target for this measure </w:t>
      </w:r>
      <w:r>
        <w:rPr>
          <w:rFonts w:ascii="Arial" w:hAnsi="Arial" w:cs="Arial"/>
          <w:sz w:val="22"/>
          <w:szCs w:val="22"/>
        </w:rPr>
        <w:t xml:space="preserve">is </w:t>
      </w:r>
      <w:r w:rsidRPr="002C24B4">
        <w:rPr>
          <w:rFonts w:ascii="Arial" w:hAnsi="Arial" w:cs="Arial"/>
          <w:sz w:val="22"/>
          <w:szCs w:val="22"/>
        </w:rPr>
        <w:t xml:space="preserve">80% of the students will meet or exceed expectations for SLO 4. </w:t>
      </w:r>
    </w:p>
    <w:p w:rsidR="00911A0C" w:rsidRPr="002C24B4" w:rsidRDefault="00911A0C" w:rsidP="00911A0C">
      <w:pPr>
        <w:pStyle w:val="ListParagraph"/>
        <w:rPr>
          <w:rFonts w:ascii="Arial" w:hAnsi="Arial" w:cs="Arial"/>
          <w:sz w:val="22"/>
          <w:szCs w:val="22"/>
        </w:rPr>
      </w:pPr>
    </w:p>
    <w:p w:rsidR="00911A0C" w:rsidRPr="00917DDF" w:rsidRDefault="00911A0C" w:rsidP="00911A0C">
      <w:pPr>
        <w:rPr>
          <w:rFonts w:ascii="Arial" w:hAnsi="Arial" w:cs="Arial"/>
          <w:sz w:val="22"/>
          <w:szCs w:val="22"/>
        </w:rPr>
      </w:pPr>
      <w:r w:rsidRPr="00917DDF">
        <w:rPr>
          <w:rFonts w:ascii="Arial" w:hAnsi="Arial" w:cs="Arial"/>
          <w:sz w:val="22"/>
          <w:szCs w:val="22"/>
        </w:rPr>
        <w:t>In addition to the activities described in the outline above, student responses to a Pre/Post Experience Survey will enable us to assess student learning by using a ‘value added’ approach. The Pre/Post Experience Survey instrument has not yet been identified but will be selected (or created) with the guidance of the Office of Institutional Research and the Assistant Vice-President of Institutional Effectiveness. Students enrolled in QEP-designated course sections will complete the survey at the beginning and end of the course. A positive change in mean scores (e.g., a 5% increase) for each student learning outcome area will be the established criterion for success for this assessment.</w:t>
      </w:r>
    </w:p>
    <w:p w:rsidR="00911A0C" w:rsidRDefault="00911A0C" w:rsidP="00911A0C">
      <w:pPr>
        <w:pStyle w:val="ListParagraph"/>
        <w:ind w:left="0"/>
        <w:jc w:val="both"/>
        <w:rPr>
          <w:rFonts w:ascii="Arial" w:hAnsi="Arial" w:cs="Arial"/>
          <w:sz w:val="22"/>
          <w:szCs w:val="22"/>
        </w:rPr>
      </w:pPr>
    </w:p>
    <w:p w:rsidR="00911A0C" w:rsidRDefault="00911A0C" w:rsidP="00911A0C">
      <w:pPr>
        <w:pStyle w:val="ListParagraph"/>
        <w:ind w:left="0"/>
        <w:jc w:val="both"/>
        <w:rPr>
          <w:rFonts w:ascii="Arial" w:hAnsi="Arial" w:cs="Arial"/>
          <w:sz w:val="22"/>
          <w:szCs w:val="22"/>
        </w:rPr>
      </w:pPr>
      <w:r>
        <w:rPr>
          <w:rFonts w:ascii="Arial" w:hAnsi="Arial" w:cs="Arial"/>
          <w:sz w:val="22"/>
          <w:szCs w:val="22"/>
        </w:rPr>
        <w:t>The diagram below illustrates the flow of suggested assessment activities.</w:t>
      </w:r>
    </w:p>
    <w:p w:rsidR="00911A0C" w:rsidRDefault="00911A0C" w:rsidP="00911A0C">
      <w:pPr>
        <w:pStyle w:val="ListParagraph"/>
        <w:ind w:left="0"/>
        <w:jc w:val="both"/>
        <w:rPr>
          <w:rFonts w:ascii="Arial" w:hAnsi="Arial" w:cs="Arial"/>
          <w:sz w:val="22"/>
          <w:szCs w:val="22"/>
        </w:rPr>
      </w:pPr>
    </w:p>
    <w:p w:rsidR="00911A0C" w:rsidRDefault="00911A0C" w:rsidP="00911A0C">
      <w:pPr>
        <w:spacing w:after="200" w:line="276" w:lineRule="auto"/>
        <w:rPr>
          <w:rFonts w:ascii="Arial" w:hAnsi="Arial" w:cs="Arial"/>
          <w:sz w:val="22"/>
          <w:szCs w:val="22"/>
        </w:rPr>
      </w:pPr>
      <w:r w:rsidRPr="00416809">
        <w:rPr>
          <w:rFonts w:ascii="Arial" w:hAnsi="Arial" w:cs="Arial"/>
          <w:noProof/>
          <w:sz w:val="22"/>
          <w:szCs w:val="22"/>
        </w:rPr>
        <w:lastRenderedPageBreak/>
        <w:drawing>
          <wp:inline distT="0" distB="0" distL="0" distR="0" wp14:anchorId="425387C5" wp14:editId="198C6B4F">
            <wp:extent cx="5686425" cy="2371725"/>
            <wp:effectExtent l="0" t="0" r="9525" b="9525"/>
            <wp:docPr id="3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11A0C" w:rsidRPr="00BD5FF8" w:rsidRDefault="00911A0C" w:rsidP="00911A0C">
      <w:pPr>
        <w:rPr>
          <w:rFonts w:ascii="Arial" w:eastAsia="Times New Roman" w:hAnsi="Arial" w:cs="Arial"/>
          <w:color w:val="5B9BD5" w:themeColor="accent1"/>
          <w:sz w:val="18"/>
          <w:szCs w:val="18"/>
        </w:rPr>
      </w:pPr>
      <w:r>
        <w:rPr>
          <w:rFonts w:ascii="Arial" w:eastAsia="Times New Roman" w:hAnsi="Arial" w:cs="Arial"/>
          <w:color w:val="5B9BD5" w:themeColor="accent1"/>
          <w:sz w:val="18"/>
          <w:szCs w:val="18"/>
        </w:rPr>
        <w:t>Figure 6</w:t>
      </w:r>
      <w:r w:rsidRPr="00BD5FF8">
        <w:rPr>
          <w:rFonts w:ascii="Arial" w:eastAsia="Times New Roman" w:hAnsi="Arial" w:cs="Arial"/>
          <w:color w:val="5B9BD5" w:themeColor="accent1"/>
          <w:sz w:val="18"/>
          <w:szCs w:val="18"/>
        </w:rPr>
        <w:t xml:space="preserve">: </w:t>
      </w:r>
      <w:r>
        <w:rPr>
          <w:rFonts w:ascii="Arial" w:eastAsia="Times New Roman" w:hAnsi="Arial" w:cs="Arial"/>
          <w:color w:val="5B9BD5" w:themeColor="accent1"/>
          <w:sz w:val="18"/>
          <w:szCs w:val="18"/>
        </w:rPr>
        <w:t>Flow of Assessment Activities</w:t>
      </w:r>
    </w:p>
    <w:p w:rsidR="00911A0C" w:rsidRDefault="00911A0C" w:rsidP="00911A0C">
      <w:pPr>
        <w:rPr>
          <w:rFonts w:ascii="Arial" w:hAnsi="Arial" w:cs="Arial"/>
          <w:b/>
          <w:bCs/>
          <w:color w:val="D4AC02"/>
          <w:sz w:val="22"/>
          <w:szCs w:val="22"/>
        </w:rPr>
      </w:pPr>
    </w:p>
    <w:p w:rsidR="00911A0C" w:rsidRDefault="00911A0C" w:rsidP="00911A0C">
      <w:pPr>
        <w:rPr>
          <w:rFonts w:ascii="Arial" w:hAnsi="Arial" w:cs="Arial"/>
          <w:b/>
          <w:bCs/>
          <w:i/>
          <w:color w:val="D4AC02"/>
          <w:sz w:val="22"/>
          <w:szCs w:val="22"/>
        </w:rPr>
      </w:pPr>
    </w:p>
    <w:p w:rsidR="00911A0C" w:rsidRPr="00981845" w:rsidRDefault="00911A0C" w:rsidP="00911A0C">
      <w:pPr>
        <w:rPr>
          <w:rFonts w:ascii="Arial" w:hAnsi="Arial" w:cs="Arial"/>
          <w:b/>
          <w:bCs/>
          <w:i/>
          <w:color w:val="D4AC02"/>
          <w:sz w:val="22"/>
          <w:szCs w:val="22"/>
        </w:rPr>
      </w:pPr>
      <w:r w:rsidRPr="00981845">
        <w:rPr>
          <w:rFonts w:ascii="Arial" w:hAnsi="Arial" w:cs="Arial"/>
          <w:b/>
          <w:bCs/>
          <w:i/>
          <w:color w:val="D4AC02"/>
          <w:sz w:val="22"/>
          <w:szCs w:val="22"/>
        </w:rPr>
        <w:t>ASSESSMENT ACTIVITIES: Effectiveness of QEP</w:t>
      </w:r>
    </w:p>
    <w:p w:rsidR="00911A0C" w:rsidRDefault="00911A0C" w:rsidP="00911A0C">
      <w:pPr>
        <w:rPr>
          <w:rFonts w:ascii="Arial" w:hAnsi="Arial" w:cs="Arial"/>
          <w:sz w:val="22"/>
          <w:szCs w:val="22"/>
        </w:rPr>
      </w:pPr>
      <w:r>
        <w:rPr>
          <w:rFonts w:ascii="Arial" w:hAnsi="Arial" w:cs="Arial"/>
          <w:sz w:val="22"/>
          <w:szCs w:val="22"/>
        </w:rPr>
        <w:t>As described previously, faculty at the degree program level will develop analytic rubrics based on the holistic Master Rubric to assess student learning within a specific discipline. Data will be collected by the faculty member, compiled in aggregate and submitted to the Office of Experiential Learning. T</w:t>
      </w:r>
      <w:r w:rsidRPr="001A625F">
        <w:rPr>
          <w:rFonts w:ascii="Arial" w:hAnsi="Arial" w:cs="Arial"/>
          <w:sz w:val="22"/>
          <w:szCs w:val="22"/>
        </w:rPr>
        <w:t xml:space="preserve">he QEP Coordinator will </w:t>
      </w:r>
      <w:r w:rsidR="00DE14B9">
        <w:rPr>
          <w:rFonts w:ascii="Arial" w:hAnsi="Arial" w:cs="Arial"/>
          <w:sz w:val="22"/>
          <w:szCs w:val="22"/>
        </w:rPr>
        <w:t>use the Master Rubric</w:t>
      </w:r>
      <w:r>
        <w:rPr>
          <w:rFonts w:ascii="Arial" w:hAnsi="Arial" w:cs="Arial"/>
          <w:sz w:val="22"/>
          <w:szCs w:val="22"/>
        </w:rPr>
        <w:t xml:space="preserve"> to </w:t>
      </w:r>
      <w:r w:rsidRPr="001A625F">
        <w:rPr>
          <w:rFonts w:ascii="Arial" w:hAnsi="Arial" w:cs="Arial"/>
          <w:sz w:val="22"/>
          <w:szCs w:val="22"/>
        </w:rPr>
        <w:t>view program data</w:t>
      </w:r>
      <w:r>
        <w:rPr>
          <w:rFonts w:ascii="Arial" w:hAnsi="Arial" w:cs="Arial"/>
          <w:sz w:val="22"/>
          <w:szCs w:val="22"/>
        </w:rPr>
        <w:t xml:space="preserve"> (holistically)</w:t>
      </w:r>
      <w:r w:rsidRPr="001A625F">
        <w:rPr>
          <w:rFonts w:ascii="Arial" w:hAnsi="Arial" w:cs="Arial"/>
          <w:sz w:val="22"/>
          <w:szCs w:val="22"/>
        </w:rPr>
        <w:t xml:space="preserve"> across disciplines</w:t>
      </w:r>
      <w:r>
        <w:rPr>
          <w:rFonts w:ascii="Arial" w:hAnsi="Arial" w:cs="Arial"/>
          <w:sz w:val="22"/>
          <w:szCs w:val="22"/>
        </w:rPr>
        <w:t xml:space="preserve">, compile results and record in the QEP entity of </w:t>
      </w:r>
      <w:r w:rsidRPr="00B6652D">
        <w:rPr>
          <w:rFonts w:ascii="Arial" w:hAnsi="Arial" w:cs="Arial"/>
          <w:sz w:val="22"/>
          <w:szCs w:val="22"/>
        </w:rPr>
        <w:t>WeaveONLINE®</w:t>
      </w:r>
      <w:r>
        <w:rPr>
          <w:rFonts w:ascii="Arial" w:hAnsi="Arial" w:cs="Arial"/>
          <w:sz w:val="22"/>
          <w:szCs w:val="22"/>
        </w:rPr>
        <w:t xml:space="preserve">.  </w:t>
      </w:r>
      <w:r w:rsidRPr="004C75F9">
        <w:rPr>
          <w:rFonts w:ascii="Arial" w:hAnsi="Arial" w:cs="Arial"/>
          <w:sz w:val="22"/>
          <w:szCs w:val="22"/>
        </w:rPr>
        <w:t>Evaluation will be done on a scale of 1 to 3 with 1 representing ‘misses expectations’ and 3 representing ‘exceeds expectations’.  The achievement target for this measure</w:t>
      </w:r>
      <w:r>
        <w:rPr>
          <w:rFonts w:ascii="Arial" w:hAnsi="Arial" w:cs="Arial"/>
          <w:sz w:val="22"/>
          <w:szCs w:val="22"/>
        </w:rPr>
        <w:t xml:space="preserve"> is that 80% of all</w:t>
      </w:r>
      <w:r w:rsidRPr="004C75F9">
        <w:rPr>
          <w:rFonts w:ascii="Arial" w:hAnsi="Arial" w:cs="Arial"/>
          <w:sz w:val="22"/>
          <w:szCs w:val="22"/>
        </w:rPr>
        <w:t xml:space="preserve"> students </w:t>
      </w:r>
      <w:r>
        <w:rPr>
          <w:rFonts w:ascii="Arial" w:hAnsi="Arial" w:cs="Arial"/>
          <w:sz w:val="22"/>
          <w:szCs w:val="22"/>
        </w:rPr>
        <w:t xml:space="preserve">in QEP-designated real-world experiences </w:t>
      </w:r>
      <w:r w:rsidRPr="004C75F9">
        <w:rPr>
          <w:rFonts w:ascii="Arial" w:hAnsi="Arial" w:cs="Arial"/>
          <w:sz w:val="22"/>
          <w:szCs w:val="22"/>
        </w:rPr>
        <w:t>will</w:t>
      </w:r>
      <w:r>
        <w:rPr>
          <w:rFonts w:ascii="Arial" w:hAnsi="Arial" w:cs="Arial"/>
          <w:sz w:val="22"/>
          <w:szCs w:val="22"/>
        </w:rPr>
        <w:t xml:space="preserve"> meet or exceed expectations in all four of the student learning outcomes.</w:t>
      </w:r>
    </w:p>
    <w:p w:rsidR="00911A0C" w:rsidRDefault="00911A0C" w:rsidP="00911A0C">
      <w:pPr>
        <w:rPr>
          <w:rFonts w:ascii="Arial" w:hAnsi="Arial" w:cs="Arial"/>
          <w:sz w:val="22"/>
          <w:szCs w:val="22"/>
        </w:rPr>
      </w:pPr>
    </w:p>
    <w:p w:rsidR="00911A0C" w:rsidRDefault="00911A0C" w:rsidP="00911A0C">
      <w:pPr>
        <w:rPr>
          <w:rFonts w:ascii="Arial" w:hAnsi="Arial" w:cs="Arial"/>
          <w:sz w:val="22"/>
          <w:szCs w:val="22"/>
        </w:rPr>
      </w:pPr>
      <w:r w:rsidRPr="00727DD3">
        <w:rPr>
          <w:rFonts w:ascii="Arial" w:hAnsi="Arial" w:cs="Arial"/>
          <w:sz w:val="22"/>
          <w:szCs w:val="22"/>
        </w:rPr>
        <w:t>Our QEP will enhance the academic climate for student learning by providing authentic learning opportunities that connect academic courses with real-world experiences, thereby better preparing students for life in the real-world.</w:t>
      </w:r>
      <w:r>
        <w:rPr>
          <w:rFonts w:ascii="Arial" w:hAnsi="Arial" w:cs="Arial"/>
          <w:sz w:val="22"/>
          <w:szCs w:val="22"/>
        </w:rPr>
        <w:t xml:space="preserve"> So i</w:t>
      </w:r>
      <w:r w:rsidRPr="00727DD3">
        <w:rPr>
          <w:rFonts w:ascii="Arial" w:hAnsi="Arial" w:cs="Arial"/>
          <w:sz w:val="22"/>
          <w:szCs w:val="22"/>
        </w:rPr>
        <w:t>n addition to attainment of the student learning outcomes (SLOs) reported by faculty in QEP-designated course</w:t>
      </w:r>
      <w:r>
        <w:rPr>
          <w:rFonts w:ascii="Arial" w:hAnsi="Arial" w:cs="Arial"/>
          <w:sz w:val="22"/>
          <w:szCs w:val="22"/>
        </w:rPr>
        <w:t xml:space="preserve"> sections</w:t>
      </w:r>
      <w:r w:rsidRPr="00727DD3">
        <w:rPr>
          <w:rFonts w:ascii="Arial" w:hAnsi="Arial" w:cs="Arial"/>
          <w:sz w:val="22"/>
          <w:szCs w:val="22"/>
        </w:rPr>
        <w:t>, effectiveness of the QEP</w:t>
      </w:r>
      <w:r>
        <w:rPr>
          <w:rFonts w:ascii="Arial" w:hAnsi="Arial" w:cs="Arial"/>
          <w:sz w:val="22"/>
          <w:szCs w:val="22"/>
        </w:rPr>
        <w:t xml:space="preserve"> </w:t>
      </w:r>
      <w:r w:rsidRPr="00727DD3">
        <w:rPr>
          <w:rFonts w:ascii="Arial" w:hAnsi="Arial" w:cs="Arial"/>
          <w:sz w:val="22"/>
          <w:szCs w:val="22"/>
        </w:rPr>
        <w:t>will be monitored through a periodic audit of the SLOs posted by each degree program in WeaveO</w:t>
      </w:r>
      <w:r>
        <w:rPr>
          <w:rFonts w:ascii="Arial" w:hAnsi="Arial" w:cs="Arial"/>
          <w:sz w:val="22"/>
          <w:szCs w:val="22"/>
        </w:rPr>
        <w:t>NLINE®.  As the campus culture</w:t>
      </w:r>
      <w:r w:rsidRPr="00727DD3">
        <w:rPr>
          <w:rFonts w:ascii="Arial" w:hAnsi="Arial" w:cs="Arial"/>
          <w:sz w:val="22"/>
          <w:szCs w:val="22"/>
        </w:rPr>
        <w:t xml:space="preserve"> for enhancing student learning through experiential</w:t>
      </w:r>
      <w:r>
        <w:rPr>
          <w:rFonts w:ascii="Arial" w:hAnsi="Arial" w:cs="Arial"/>
          <w:sz w:val="22"/>
          <w:szCs w:val="22"/>
        </w:rPr>
        <w:t xml:space="preserve">-learning opportunities </w:t>
      </w:r>
      <w:r w:rsidRPr="00727DD3">
        <w:rPr>
          <w:rFonts w:ascii="Arial" w:hAnsi="Arial" w:cs="Arial"/>
          <w:sz w:val="22"/>
          <w:szCs w:val="22"/>
        </w:rPr>
        <w:t xml:space="preserve">evolves, the number of degree SLOs that align with QEP SLOs should increase. The </w:t>
      </w:r>
      <w:r>
        <w:rPr>
          <w:rFonts w:ascii="Arial" w:hAnsi="Arial" w:cs="Arial"/>
          <w:sz w:val="22"/>
          <w:szCs w:val="22"/>
        </w:rPr>
        <w:t>F</w:t>
      </w:r>
      <w:r w:rsidRPr="00727DD3">
        <w:rPr>
          <w:rFonts w:ascii="Arial" w:hAnsi="Arial" w:cs="Arial"/>
          <w:sz w:val="22"/>
          <w:szCs w:val="22"/>
        </w:rPr>
        <w:t xml:space="preserve">all 2014 audit </w:t>
      </w:r>
      <w:r w:rsidR="00DE14B9">
        <w:rPr>
          <w:rFonts w:ascii="Arial" w:hAnsi="Arial" w:cs="Arial"/>
          <w:sz w:val="22"/>
          <w:szCs w:val="22"/>
        </w:rPr>
        <w:t>will serve as the baseline</w:t>
      </w:r>
      <w:r w:rsidRPr="00727DD3">
        <w:rPr>
          <w:rFonts w:ascii="Arial" w:hAnsi="Arial" w:cs="Arial"/>
          <w:sz w:val="22"/>
          <w:szCs w:val="22"/>
        </w:rPr>
        <w:t>.</w:t>
      </w:r>
    </w:p>
    <w:p w:rsidR="00911A0C" w:rsidRDefault="00911A0C" w:rsidP="00911A0C">
      <w:pPr>
        <w:rPr>
          <w:rFonts w:ascii="Arial" w:hAnsi="Arial" w:cs="Arial"/>
          <w:sz w:val="22"/>
          <w:szCs w:val="22"/>
        </w:rPr>
      </w:pPr>
    </w:p>
    <w:p w:rsidR="00911A0C" w:rsidRPr="00B6652D" w:rsidRDefault="00911A0C" w:rsidP="00911A0C">
      <w:pPr>
        <w:spacing w:after="200" w:line="276" w:lineRule="auto"/>
        <w:rPr>
          <w:rFonts w:ascii="Arial" w:hAnsi="Arial" w:cs="Arial"/>
          <w:sz w:val="22"/>
          <w:szCs w:val="22"/>
        </w:rPr>
      </w:pPr>
      <w:r w:rsidRPr="00B6652D">
        <w:rPr>
          <w:rFonts w:ascii="Arial" w:hAnsi="Arial" w:cs="Arial"/>
          <w:sz w:val="22"/>
          <w:szCs w:val="22"/>
        </w:rPr>
        <w:t>As indicated previously in the Final Topic Selection section of this report, data from the 2012 National Survey of Student Engagement (NSSE) and Southeastern’s 2011 Employer Survey helped confirm the selection of Real-World Ready as our QEP.  Data from th</w:t>
      </w:r>
      <w:r>
        <w:rPr>
          <w:rFonts w:ascii="Arial" w:hAnsi="Arial" w:cs="Arial"/>
          <w:sz w:val="22"/>
          <w:szCs w:val="22"/>
        </w:rPr>
        <w:t>e most recent administration of these</w:t>
      </w:r>
      <w:r w:rsidRPr="00B6652D">
        <w:rPr>
          <w:rFonts w:ascii="Arial" w:hAnsi="Arial" w:cs="Arial"/>
          <w:sz w:val="22"/>
          <w:szCs w:val="22"/>
        </w:rPr>
        <w:t xml:space="preserve"> surveys will be used as a baseline for helping measure the effectiveness of the QEP.  </w:t>
      </w:r>
    </w:p>
    <w:p w:rsidR="00911A0C" w:rsidRDefault="00911A0C" w:rsidP="00911A0C">
      <w:pPr>
        <w:spacing w:after="200" w:line="276" w:lineRule="auto"/>
        <w:rPr>
          <w:rFonts w:ascii="Arial" w:hAnsi="Arial" w:cs="Arial"/>
          <w:sz w:val="22"/>
          <w:szCs w:val="22"/>
        </w:rPr>
      </w:pPr>
      <w:r w:rsidRPr="00B6652D">
        <w:rPr>
          <w:rFonts w:ascii="Arial" w:hAnsi="Arial" w:cs="Arial"/>
          <w:sz w:val="22"/>
          <w:szCs w:val="22"/>
        </w:rPr>
        <w:t>The NSSE survey is administered to</w:t>
      </w:r>
      <w:r>
        <w:rPr>
          <w:rFonts w:ascii="Arial" w:hAnsi="Arial" w:cs="Arial"/>
          <w:sz w:val="22"/>
          <w:szCs w:val="22"/>
        </w:rPr>
        <w:t xml:space="preserve"> freshmen and seniors every two </w:t>
      </w:r>
      <w:r w:rsidRPr="00B6652D">
        <w:rPr>
          <w:rFonts w:ascii="Arial" w:hAnsi="Arial" w:cs="Arial"/>
          <w:sz w:val="22"/>
          <w:szCs w:val="22"/>
        </w:rPr>
        <w:t>years.  The data collected by the survey include students’ self-reports of quantity and frequency of engagement in educational practices associated with high levels of learning and development.</w:t>
      </w:r>
      <w:r w:rsidR="00CB32C0">
        <w:rPr>
          <w:rFonts w:ascii="Arial" w:hAnsi="Arial" w:cs="Arial"/>
          <w:sz w:val="22"/>
          <w:szCs w:val="22"/>
        </w:rPr>
        <w:t xml:space="preserve"> </w:t>
      </w:r>
      <w:r w:rsidRPr="00B6652D">
        <w:rPr>
          <w:rFonts w:ascii="Arial" w:hAnsi="Arial" w:cs="Arial"/>
          <w:sz w:val="22"/>
          <w:szCs w:val="22"/>
        </w:rPr>
        <w:t xml:space="preserve">During the QEP implementation, </w:t>
      </w:r>
      <w:r>
        <w:rPr>
          <w:rFonts w:ascii="Arial" w:hAnsi="Arial" w:cs="Arial"/>
          <w:sz w:val="22"/>
          <w:szCs w:val="22"/>
        </w:rPr>
        <w:t>a positive trend in mean scores for the related NSSE questions will be the established criterion for success for this assessment.</w:t>
      </w:r>
    </w:p>
    <w:p w:rsidR="00911A0C" w:rsidRDefault="00911A0C" w:rsidP="00911A0C">
      <w:pPr>
        <w:spacing w:after="200" w:line="276" w:lineRule="auto"/>
        <w:rPr>
          <w:rFonts w:ascii="Arial" w:hAnsi="Arial" w:cs="Arial"/>
          <w:sz w:val="22"/>
          <w:szCs w:val="22"/>
        </w:rPr>
      </w:pPr>
      <w:r w:rsidRPr="00B6652D">
        <w:rPr>
          <w:rFonts w:ascii="Arial" w:hAnsi="Arial" w:cs="Arial"/>
          <w:sz w:val="22"/>
          <w:szCs w:val="22"/>
        </w:rPr>
        <w:lastRenderedPageBreak/>
        <w:t>Southeastern’s Employer Survey is administered every other year as a follow-up to the Alumni Survey.  As part of the Alumni Survey, alumni are asked to provide information about their employers. The employers identified in the Alumni Survey are sent an Employer Survey</w:t>
      </w:r>
      <w:r>
        <w:rPr>
          <w:rFonts w:ascii="Arial" w:hAnsi="Arial" w:cs="Arial"/>
          <w:sz w:val="22"/>
          <w:szCs w:val="22"/>
        </w:rPr>
        <w:t>. The Employer Survey addresses</w:t>
      </w:r>
      <w:r w:rsidRPr="00B6652D">
        <w:rPr>
          <w:rFonts w:ascii="Arial" w:hAnsi="Arial" w:cs="Arial"/>
          <w:sz w:val="22"/>
          <w:szCs w:val="22"/>
        </w:rPr>
        <w:t xml:space="preserve"> three specific areas: what skills or knowledge are important to a graduate’s job; what the graduate’s skill level is in the identified areas; and what attributes employers believe are important when they hire a new employee. The survey also asks some general questions concerning the graduate’s overall preparedness and the type of organization for which the graduate works. The questions related to Communication Skills and Professional Traits and Attitudes were identified as significan</w:t>
      </w:r>
      <w:r w:rsidR="00CB32C0">
        <w:rPr>
          <w:rFonts w:ascii="Arial" w:hAnsi="Arial" w:cs="Arial"/>
          <w:sz w:val="22"/>
          <w:szCs w:val="22"/>
        </w:rPr>
        <w:t>t to the QEP</w:t>
      </w:r>
      <w:r w:rsidR="00DE14B9">
        <w:rPr>
          <w:rFonts w:ascii="Arial" w:hAnsi="Arial" w:cs="Arial"/>
          <w:sz w:val="22"/>
          <w:szCs w:val="22"/>
        </w:rPr>
        <w:t>.</w:t>
      </w:r>
      <w:r w:rsidR="00DE14B9">
        <w:t xml:space="preserve"> </w:t>
      </w:r>
      <w:r>
        <w:rPr>
          <w:rFonts w:ascii="Arial" w:hAnsi="Arial" w:cs="Arial"/>
          <w:sz w:val="22"/>
          <w:szCs w:val="22"/>
        </w:rPr>
        <w:t>A positive trend in mean scores for the related Employer Survey questions will be the established criterion for success for this assessment.</w:t>
      </w:r>
    </w:p>
    <w:p w:rsidR="00911A0C" w:rsidRPr="00B6652D" w:rsidRDefault="00911A0C" w:rsidP="00911A0C">
      <w:pPr>
        <w:spacing w:after="200" w:line="276" w:lineRule="auto"/>
        <w:rPr>
          <w:rFonts w:ascii="Arial" w:hAnsi="Arial" w:cs="Arial"/>
          <w:sz w:val="22"/>
          <w:szCs w:val="22"/>
        </w:rPr>
      </w:pPr>
      <w:r>
        <w:rPr>
          <w:rFonts w:ascii="Arial" w:hAnsi="Arial" w:cs="Arial"/>
          <w:sz w:val="22"/>
          <w:szCs w:val="22"/>
        </w:rPr>
        <w:t>T</w:t>
      </w:r>
      <w:r w:rsidRPr="00B6652D">
        <w:rPr>
          <w:rFonts w:ascii="Arial" w:hAnsi="Arial" w:cs="Arial"/>
          <w:sz w:val="22"/>
          <w:szCs w:val="22"/>
        </w:rPr>
        <w:t xml:space="preserve">he NSSE and Employer Survey data will be collected and analyzed by Institutional Research and disseminated to the QEP Coordinator and Real-World Ready Advisory Team for comparison with baseline data.  </w:t>
      </w:r>
      <w:r>
        <w:rPr>
          <w:rFonts w:ascii="Arial" w:hAnsi="Arial" w:cs="Arial"/>
          <w:sz w:val="22"/>
          <w:szCs w:val="22"/>
        </w:rPr>
        <w:t>T</w:t>
      </w:r>
      <w:r w:rsidRPr="001A625F">
        <w:rPr>
          <w:rFonts w:ascii="Arial" w:hAnsi="Arial" w:cs="Arial"/>
          <w:sz w:val="22"/>
          <w:szCs w:val="22"/>
        </w:rPr>
        <w:t xml:space="preserve">he QEP Coordinator will </w:t>
      </w:r>
      <w:r>
        <w:rPr>
          <w:rFonts w:ascii="Arial" w:hAnsi="Arial" w:cs="Arial"/>
          <w:sz w:val="22"/>
          <w:szCs w:val="22"/>
        </w:rPr>
        <w:t xml:space="preserve">record the data in the QEP entity of </w:t>
      </w:r>
      <w:r w:rsidRPr="00B6652D">
        <w:rPr>
          <w:rFonts w:ascii="Arial" w:hAnsi="Arial" w:cs="Arial"/>
          <w:sz w:val="22"/>
          <w:szCs w:val="22"/>
        </w:rPr>
        <w:t>WeaveONLINE®</w:t>
      </w:r>
      <w:r>
        <w:rPr>
          <w:rFonts w:ascii="Arial" w:hAnsi="Arial" w:cs="Arial"/>
          <w:sz w:val="22"/>
          <w:szCs w:val="22"/>
        </w:rPr>
        <w:t xml:space="preserve">.  </w:t>
      </w:r>
      <w:r w:rsidRPr="00B6652D">
        <w:rPr>
          <w:rFonts w:ascii="Arial" w:hAnsi="Arial" w:cs="Arial"/>
          <w:sz w:val="22"/>
          <w:szCs w:val="22"/>
        </w:rPr>
        <w:t>Resul</w:t>
      </w:r>
      <w:r>
        <w:rPr>
          <w:rFonts w:ascii="Arial" w:hAnsi="Arial" w:cs="Arial"/>
          <w:sz w:val="22"/>
          <w:szCs w:val="22"/>
        </w:rPr>
        <w:t xml:space="preserve">ts will be shared with faculty </w:t>
      </w:r>
      <w:r w:rsidRPr="00B6652D">
        <w:rPr>
          <w:rFonts w:ascii="Arial" w:hAnsi="Arial" w:cs="Arial"/>
          <w:sz w:val="22"/>
          <w:szCs w:val="22"/>
        </w:rPr>
        <w:t>and all QEP stakeholders and used as affirmation of QEP effectiveness or impetus for improvement.</w:t>
      </w:r>
    </w:p>
    <w:p w:rsidR="00911A0C" w:rsidRDefault="00911A0C" w:rsidP="00911A0C">
      <w:pPr>
        <w:widowControl w:val="0"/>
        <w:rPr>
          <w:rFonts w:ascii="Arial" w:hAnsi="Arial" w:cs="Arial"/>
          <w:b/>
          <w:bCs/>
          <w:color w:val="D4AC02"/>
        </w:rPr>
      </w:pPr>
    </w:p>
    <w:p w:rsidR="00911A0C" w:rsidRDefault="00911A0C" w:rsidP="00911A0C">
      <w:pPr>
        <w:widowControl w:val="0"/>
        <w:rPr>
          <w:rFonts w:ascii="Arial" w:hAnsi="Arial" w:cs="Arial"/>
          <w:b/>
          <w:bCs/>
          <w:color w:val="D4AC02"/>
        </w:rPr>
      </w:pPr>
      <w:r>
        <w:rPr>
          <w:rFonts w:ascii="Arial" w:hAnsi="Arial" w:cs="Arial"/>
          <w:b/>
          <w:bCs/>
          <w:color w:val="D4AC02"/>
        </w:rPr>
        <w:t>DEFINING SUCCESS OF THE QEP</w:t>
      </w:r>
    </w:p>
    <w:p w:rsidR="00911A0C" w:rsidRPr="000B5D83" w:rsidRDefault="00911A0C" w:rsidP="00911A0C">
      <w:pPr>
        <w:widowControl w:val="0"/>
        <w:rPr>
          <w:rFonts w:ascii="Arial" w:hAnsi="Arial" w:cs="Arial"/>
          <w:bCs/>
          <w:sz w:val="22"/>
          <w:szCs w:val="22"/>
        </w:rPr>
      </w:pPr>
      <w:r w:rsidRPr="00E74320">
        <w:rPr>
          <w:rFonts w:ascii="Arial" w:hAnsi="Arial" w:cs="Arial"/>
          <w:bCs/>
          <w:sz w:val="22"/>
          <w:szCs w:val="22"/>
        </w:rPr>
        <w:t>It has been</w:t>
      </w:r>
      <w:r>
        <w:rPr>
          <w:rFonts w:ascii="Arial" w:hAnsi="Arial" w:cs="Arial"/>
          <w:bCs/>
          <w:sz w:val="22"/>
          <w:szCs w:val="22"/>
        </w:rPr>
        <w:t xml:space="preserve"> documented in the experiential-</w:t>
      </w:r>
      <w:r w:rsidRPr="00E74320">
        <w:rPr>
          <w:rFonts w:ascii="Arial" w:hAnsi="Arial" w:cs="Arial"/>
          <w:bCs/>
          <w:sz w:val="22"/>
          <w:szCs w:val="22"/>
        </w:rPr>
        <w:t>learning literature and in the review of literat</w:t>
      </w:r>
      <w:r w:rsidR="00CB32C0">
        <w:rPr>
          <w:rFonts w:ascii="Arial" w:hAnsi="Arial" w:cs="Arial"/>
          <w:bCs/>
          <w:sz w:val="22"/>
          <w:szCs w:val="22"/>
        </w:rPr>
        <w:t xml:space="preserve">ure </w:t>
      </w:r>
      <w:r w:rsidRPr="00E74320">
        <w:rPr>
          <w:rFonts w:ascii="Arial" w:hAnsi="Arial" w:cs="Arial"/>
          <w:bCs/>
          <w:sz w:val="22"/>
          <w:szCs w:val="22"/>
        </w:rPr>
        <w:t>that en</w:t>
      </w:r>
      <w:r>
        <w:rPr>
          <w:rFonts w:ascii="Arial" w:hAnsi="Arial" w:cs="Arial"/>
          <w:bCs/>
          <w:sz w:val="22"/>
          <w:szCs w:val="22"/>
        </w:rPr>
        <w:t>gaging students in experiential-</w:t>
      </w:r>
      <w:r w:rsidRPr="00E74320">
        <w:rPr>
          <w:rFonts w:ascii="Arial" w:hAnsi="Arial" w:cs="Arial"/>
          <w:bCs/>
          <w:sz w:val="22"/>
          <w:szCs w:val="22"/>
        </w:rPr>
        <w:t>learning activities does i</w:t>
      </w:r>
      <w:r>
        <w:rPr>
          <w:rFonts w:ascii="Arial" w:hAnsi="Arial" w:cs="Arial"/>
          <w:bCs/>
          <w:sz w:val="22"/>
          <w:szCs w:val="22"/>
        </w:rPr>
        <w:t xml:space="preserve">ndeed improve student learning. Our Real-World Ready initiative will also improve the </w:t>
      </w:r>
      <w:r w:rsidRPr="00C51D7C">
        <w:rPr>
          <w:rFonts w:ascii="Arial" w:hAnsi="Arial" w:cs="Arial"/>
          <w:b/>
          <w:bCs/>
          <w:sz w:val="22"/>
          <w:szCs w:val="22"/>
        </w:rPr>
        <w:t>quality</w:t>
      </w:r>
      <w:r>
        <w:rPr>
          <w:rFonts w:ascii="Arial" w:hAnsi="Arial" w:cs="Arial"/>
          <w:bCs/>
          <w:sz w:val="22"/>
          <w:szCs w:val="22"/>
        </w:rPr>
        <w:t xml:space="preserve"> of student learning by enhancing the academic climate so that more and better experiential-learning opportunities are available to students.  Our RWR initiative </w:t>
      </w:r>
      <w:r w:rsidRPr="0060108C">
        <w:rPr>
          <w:rFonts w:ascii="Arial" w:hAnsi="Arial" w:cs="Arial"/>
          <w:color w:val="222222"/>
          <w:sz w:val="22"/>
          <w:szCs w:val="22"/>
          <w:shd w:val="clear" w:color="auto" w:fill="FFFFFF"/>
        </w:rPr>
        <w:t>will provide students the opportunity to apply the discipline in a professional context</w:t>
      </w:r>
      <w:r>
        <w:rPr>
          <w:rFonts w:ascii="Arial" w:hAnsi="Arial" w:cs="Arial"/>
          <w:bCs/>
          <w:sz w:val="22"/>
          <w:szCs w:val="22"/>
        </w:rPr>
        <w:t xml:space="preserve"> by integrating an experiential-learning component into the curricula for those degree programs without an existing opportunity AND by enhancing current experiential-learning components. In addition to assessment of our four student-learning outcomes, o</w:t>
      </w:r>
      <w:r w:rsidRPr="000B5D83">
        <w:rPr>
          <w:rFonts w:ascii="Arial" w:hAnsi="Arial" w:cs="Arial"/>
          <w:bCs/>
          <w:sz w:val="22"/>
          <w:szCs w:val="22"/>
        </w:rPr>
        <w:t xml:space="preserve">ur measures of success will </w:t>
      </w:r>
      <w:r>
        <w:rPr>
          <w:rFonts w:ascii="Arial" w:hAnsi="Arial" w:cs="Arial"/>
          <w:bCs/>
          <w:sz w:val="22"/>
          <w:szCs w:val="22"/>
        </w:rPr>
        <w:t xml:space="preserve">include </w:t>
      </w:r>
      <w:r w:rsidRPr="000B5D83">
        <w:rPr>
          <w:rFonts w:ascii="Arial" w:hAnsi="Arial" w:cs="Arial"/>
          <w:bCs/>
          <w:sz w:val="22"/>
          <w:szCs w:val="22"/>
        </w:rPr>
        <w:t>environment</w:t>
      </w:r>
      <w:r>
        <w:rPr>
          <w:rFonts w:ascii="Arial" w:hAnsi="Arial" w:cs="Arial"/>
          <w:bCs/>
          <w:sz w:val="22"/>
          <w:szCs w:val="22"/>
        </w:rPr>
        <w:t>al</w:t>
      </w:r>
      <w:r w:rsidRPr="000B5D83">
        <w:rPr>
          <w:rFonts w:ascii="Arial" w:hAnsi="Arial" w:cs="Arial"/>
          <w:bCs/>
          <w:sz w:val="22"/>
          <w:szCs w:val="22"/>
        </w:rPr>
        <w:t xml:space="preserve"> indicators that </w:t>
      </w:r>
      <w:r>
        <w:rPr>
          <w:rFonts w:ascii="Arial" w:hAnsi="Arial" w:cs="Arial"/>
          <w:bCs/>
          <w:sz w:val="22"/>
          <w:szCs w:val="22"/>
        </w:rPr>
        <w:t xml:space="preserve">reveal </w:t>
      </w:r>
      <w:r w:rsidRPr="000B5D83">
        <w:rPr>
          <w:rFonts w:ascii="Arial" w:hAnsi="Arial" w:cs="Arial"/>
          <w:bCs/>
          <w:sz w:val="22"/>
          <w:szCs w:val="22"/>
        </w:rPr>
        <w:t>an increase in the quality and quantity of RWR experiences.</w:t>
      </w:r>
    </w:p>
    <w:p w:rsidR="00911A0C" w:rsidRPr="00E7746E" w:rsidRDefault="00911A0C" w:rsidP="00911A0C">
      <w:pPr>
        <w:widowControl w:val="0"/>
        <w:rPr>
          <w:rFonts w:ascii="Arial" w:hAnsi="Arial" w:cs="Arial"/>
          <w:bCs/>
          <w:sz w:val="22"/>
          <w:szCs w:val="22"/>
        </w:rPr>
      </w:pPr>
    </w:p>
    <w:p w:rsidR="00911A0C" w:rsidRDefault="00911A0C" w:rsidP="00911A0C">
      <w:pPr>
        <w:widowControl w:val="0"/>
        <w:rPr>
          <w:rFonts w:ascii="Arial" w:hAnsi="Arial" w:cs="Arial"/>
          <w:bCs/>
          <w:sz w:val="22"/>
          <w:szCs w:val="22"/>
        </w:rPr>
      </w:pPr>
      <w:r>
        <w:rPr>
          <w:rFonts w:ascii="Arial" w:hAnsi="Arial" w:cs="Arial"/>
          <w:b/>
          <w:bCs/>
          <w:i/>
          <w:color w:val="D4AC02"/>
          <w:sz w:val="22"/>
          <w:szCs w:val="22"/>
        </w:rPr>
        <w:t>IMPROVING THE QUANTITY OF EXPERIENTIAL-LEARNING OPPORTUNITIES</w:t>
      </w:r>
    </w:p>
    <w:p w:rsidR="00911A0C" w:rsidRPr="002670B0" w:rsidRDefault="00911A0C" w:rsidP="00911A0C">
      <w:pPr>
        <w:widowControl w:val="0"/>
        <w:rPr>
          <w:rFonts w:ascii="Arial" w:hAnsi="Arial" w:cs="Arial"/>
          <w:bCs/>
          <w:sz w:val="22"/>
          <w:szCs w:val="22"/>
        </w:rPr>
      </w:pPr>
      <w:r w:rsidRPr="002670B0">
        <w:rPr>
          <w:rFonts w:ascii="Arial" w:hAnsi="Arial" w:cs="Arial"/>
          <w:bCs/>
          <w:sz w:val="22"/>
          <w:szCs w:val="22"/>
        </w:rPr>
        <w:t>Environmental indicators of success for increasing the quantity of experiential</w:t>
      </w:r>
      <w:r>
        <w:rPr>
          <w:rFonts w:ascii="Arial" w:hAnsi="Arial" w:cs="Arial"/>
          <w:bCs/>
          <w:sz w:val="22"/>
          <w:szCs w:val="22"/>
        </w:rPr>
        <w:t>-</w:t>
      </w:r>
      <w:r w:rsidRPr="002670B0">
        <w:rPr>
          <w:rFonts w:ascii="Arial" w:hAnsi="Arial" w:cs="Arial"/>
          <w:bCs/>
          <w:sz w:val="22"/>
          <w:szCs w:val="22"/>
        </w:rPr>
        <w:t>learning opportunities are as follows.</w:t>
      </w:r>
    </w:p>
    <w:p w:rsidR="00911A0C" w:rsidRPr="002670B0" w:rsidRDefault="00911A0C" w:rsidP="00911A0C">
      <w:pPr>
        <w:pStyle w:val="ListParagraph"/>
        <w:widowControl w:val="0"/>
        <w:numPr>
          <w:ilvl w:val="0"/>
          <w:numId w:val="9"/>
        </w:numPr>
        <w:rPr>
          <w:rFonts w:ascii="Arial" w:hAnsi="Arial" w:cs="Arial"/>
          <w:bCs/>
          <w:sz w:val="22"/>
          <w:szCs w:val="22"/>
        </w:rPr>
      </w:pPr>
      <w:r w:rsidRPr="002670B0">
        <w:rPr>
          <w:rFonts w:ascii="Arial" w:hAnsi="Arial" w:cs="Arial"/>
          <w:bCs/>
          <w:sz w:val="22"/>
          <w:szCs w:val="22"/>
        </w:rPr>
        <w:t>Increase the number of students engaged in experiential learning</w:t>
      </w:r>
    </w:p>
    <w:p w:rsidR="00911A0C" w:rsidRPr="002670B0" w:rsidRDefault="00911A0C" w:rsidP="00911A0C">
      <w:pPr>
        <w:pStyle w:val="ListParagraph"/>
        <w:widowControl w:val="0"/>
        <w:numPr>
          <w:ilvl w:val="0"/>
          <w:numId w:val="9"/>
        </w:numPr>
        <w:rPr>
          <w:rFonts w:ascii="Arial" w:hAnsi="Arial" w:cs="Arial"/>
          <w:bCs/>
          <w:sz w:val="22"/>
          <w:szCs w:val="22"/>
        </w:rPr>
      </w:pPr>
      <w:r w:rsidRPr="002670B0">
        <w:rPr>
          <w:rFonts w:ascii="Arial" w:hAnsi="Arial" w:cs="Arial"/>
          <w:bCs/>
          <w:sz w:val="22"/>
          <w:szCs w:val="22"/>
        </w:rPr>
        <w:t>Increase the number of course sections that include experiential</w:t>
      </w:r>
      <w:r>
        <w:rPr>
          <w:rFonts w:ascii="Arial" w:hAnsi="Arial" w:cs="Arial"/>
          <w:bCs/>
          <w:sz w:val="22"/>
          <w:szCs w:val="22"/>
        </w:rPr>
        <w:t>-</w:t>
      </w:r>
      <w:r w:rsidRPr="002670B0">
        <w:rPr>
          <w:rFonts w:ascii="Arial" w:hAnsi="Arial" w:cs="Arial"/>
          <w:bCs/>
          <w:sz w:val="22"/>
          <w:szCs w:val="22"/>
        </w:rPr>
        <w:t>learning opportunities</w:t>
      </w:r>
    </w:p>
    <w:p w:rsidR="00911A0C" w:rsidRPr="002670B0" w:rsidRDefault="00911A0C" w:rsidP="00911A0C">
      <w:pPr>
        <w:pStyle w:val="ListParagraph"/>
        <w:widowControl w:val="0"/>
        <w:numPr>
          <w:ilvl w:val="0"/>
          <w:numId w:val="9"/>
        </w:numPr>
        <w:rPr>
          <w:rFonts w:ascii="Arial" w:hAnsi="Arial" w:cs="Arial"/>
          <w:bCs/>
          <w:sz w:val="22"/>
          <w:szCs w:val="22"/>
        </w:rPr>
      </w:pPr>
      <w:r w:rsidRPr="002670B0">
        <w:rPr>
          <w:rFonts w:ascii="Arial" w:hAnsi="Arial" w:cs="Arial"/>
          <w:bCs/>
          <w:sz w:val="22"/>
          <w:szCs w:val="22"/>
        </w:rPr>
        <w:t>Increase the number of degree programs that offer experiential learning</w:t>
      </w:r>
    </w:p>
    <w:p w:rsidR="00911A0C" w:rsidRDefault="00911A0C" w:rsidP="00911A0C">
      <w:pPr>
        <w:widowControl w:val="0"/>
        <w:rPr>
          <w:rFonts w:ascii="Arial" w:hAnsi="Arial" w:cs="Arial"/>
          <w:bCs/>
          <w:sz w:val="22"/>
          <w:szCs w:val="22"/>
        </w:rPr>
      </w:pPr>
    </w:p>
    <w:p w:rsidR="00911A0C" w:rsidRPr="0044105E" w:rsidRDefault="00911A0C" w:rsidP="00911A0C">
      <w:pPr>
        <w:widowControl w:val="0"/>
        <w:rPr>
          <w:rFonts w:ascii="Arial" w:hAnsi="Arial" w:cs="Arial"/>
          <w:bCs/>
          <w:sz w:val="22"/>
          <w:szCs w:val="22"/>
        </w:rPr>
      </w:pPr>
      <w:r w:rsidRPr="0044105E">
        <w:rPr>
          <w:rFonts w:ascii="Arial" w:hAnsi="Arial" w:cs="Arial"/>
          <w:bCs/>
          <w:sz w:val="22"/>
          <w:szCs w:val="22"/>
        </w:rPr>
        <w:t>For purposes of tracking increases in the number of students who engage in experiential learning, the number of course sections that include experiential learning, and the number of degree programs that offer experiential learning, each program will complete an academic year-end survey and return to the Office of Experiential Learning.  The QEP Coordinator will compile this data and, in conversation with the Division of Academic Affairs, set new and increased targets for the following academic year.  The new campus targets will be communicated to all programs each summer.</w:t>
      </w:r>
    </w:p>
    <w:p w:rsidR="00911A0C" w:rsidRPr="0044105E" w:rsidRDefault="00911A0C" w:rsidP="00911A0C">
      <w:pPr>
        <w:widowControl w:val="0"/>
        <w:rPr>
          <w:rFonts w:ascii="Arial" w:hAnsi="Arial" w:cs="Arial"/>
          <w:bCs/>
          <w:color w:val="D4AC02"/>
          <w:sz w:val="22"/>
          <w:szCs w:val="22"/>
        </w:rPr>
      </w:pPr>
    </w:p>
    <w:p w:rsidR="00911A0C" w:rsidRDefault="00911A0C" w:rsidP="00911A0C">
      <w:pPr>
        <w:widowControl w:val="0"/>
        <w:rPr>
          <w:rFonts w:ascii="Arial" w:hAnsi="Arial" w:cs="Arial"/>
          <w:b/>
          <w:bCs/>
          <w:i/>
          <w:color w:val="D4AC02"/>
          <w:sz w:val="22"/>
          <w:szCs w:val="22"/>
        </w:rPr>
      </w:pPr>
      <w:r>
        <w:rPr>
          <w:rFonts w:ascii="Arial" w:hAnsi="Arial" w:cs="Arial"/>
          <w:b/>
          <w:bCs/>
          <w:i/>
          <w:color w:val="D4AC02"/>
          <w:sz w:val="22"/>
          <w:szCs w:val="22"/>
        </w:rPr>
        <w:t>IMPROVING THE QUALITY OF EXPERIENTIAL-LEARNING OPPORTUNITIES</w:t>
      </w:r>
    </w:p>
    <w:p w:rsidR="00911A0C" w:rsidRPr="00F00332" w:rsidRDefault="00911A0C" w:rsidP="00911A0C">
      <w:pPr>
        <w:widowControl w:val="0"/>
        <w:rPr>
          <w:rFonts w:ascii="Arial" w:hAnsi="Arial" w:cs="Arial"/>
          <w:bCs/>
          <w:sz w:val="22"/>
          <w:szCs w:val="22"/>
        </w:rPr>
      </w:pPr>
      <w:r>
        <w:rPr>
          <w:rFonts w:ascii="Arial" w:hAnsi="Arial" w:cs="Arial"/>
          <w:bCs/>
          <w:sz w:val="22"/>
          <w:szCs w:val="22"/>
        </w:rPr>
        <w:t xml:space="preserve">Indicators of success for increasing the quality of experiential-learning opportunities are as </w:t>
      </w:r>
      <w:r>
        <w:rPr>
          <w:rFonts w:ascii="Arial" w:hAnsi="Arial" w:cs="Arial"/>
          <w:bCs/>
          <w:sz w:val="22"/>
          <w:szCs w:val="22"/>
        </w:rPr>
        <w:lastRenderedPageBreak/>
        <w:t xml:space="preserve">follows. </w:t>
      </w:r>
    </w:p>
    <w:p w:rsidR="00911A0C" w:rsidRDefault="00911A0C" w:rsidP="00911A0C">
      <w:pPr>
        <w:pStyle w:val="ListParagraph"/>
        <w:widowControl w:val="0"/>
        <w:numPr>
          <w:ilvl w:val="0"/>
          <w:numId w:val="10"/>
        </w:numPr>
        <w:rPr>
          <w:rFonts w:ascii="Arial" w:hAnsi="Arial" w:cs="Arial"/>
          <w:bCs/>
          <w:sz w:val="22"/>
          <w:szCs w:val="22"/>
        </w:rPr>
      </w:pPr>
      <w:r>
        <w:rPr>
          <w:rFonts w:ascii="Arial" w:hAnsi="Arial" w:cs="Arial"/>
          <w:bCs/>
          <w:sz w:val="22"/>
          <w:szCs w:val="22"/>
        </w:rPr>
        <w:t>Develop faculty expertise in experiential learning</w:t>
      </w:r>
    </w:p>
    <w:p w:rsidR="00911A0C" w:rsidRDefault="00911A0C" w:rsidP="00911A0C">
      <w:pPr>
        <w:pStyle w:val="ListParagraph"/>
        <w:widowControl w:val="0"/>
        <w:numPr>
          <w:ilvl w:val="0"/>
          <w:numId w:val="10"/>
        </w:numPr>
        <w:rPr>
          <w:rFonts w:ascii="Arial" w:hAnsi="Arial" w:cs="Arial"/>
          <w:bCs/>
          <w:sz w:val="22"/>
          <w:szCs w:val="22"/>
        </w:rPr>
      </w:pPr>
      <w:r w:rsidRPr="003F60A2">
        <w:rPr>
          <w:rFonts w:ascii="Arial" w:hAnsi="Arial" w:cs="Arial"/>
          <w:bCs/>
          <w:sz w:val="22"/>
          <w:szCs w:val="22"/>
        </w:rPr>
        <w:t xml:space="preserve">Align designated QEP course sections with the </w:t>
      </w:r>
      <w:r>
        <w:rPr>
          <w:rFonts w:ascii="Arial" w:hAnsi="Arial" w:cs="Arial"/>
          <w:bCs/>
          <w:sz w:val="22"/>
          <w:szCs w:val="22"/>
        </w:rPr>
        <w:t xml:space="preserve">campus </w:t>
      </w:r>
      <w:r w:rsidRPr="003F60A2">
        <w:rPr>
          <w:rFonts w:ascii="Arial" w:hAnsi="Arial" w:cs="Arial"/>
          <w:bCs/>
          <w:sz w:val="22"/>
          <w:szCs w:val="22"/>
        </w:rPr>
        <w:t xml:space="preserve">definition, guidelines and </w:t>
      </w:r>
      <w:r>
        <w:rPr>
          <w:rFonts w:ascii="Arial" w:hAnsi="Arial" w:cs="Arial"/>
          <w:bCs/>
          <w:sz w:val="22"/>
          <w:szCs w:val="22"/>
        </w:rPr>
        <w:t>SLOs</w:t>
      </w:r>
    </w:p>
    <w:p w:rsidR="00911A0C" w:rsidRDefault="00911A0C" w:rsidP="00911A0C">
      <w:pPr>
        <w:pStyle w:val="ListParagraph"/>
        <w:widowControl w:val="0"/>
        <w:numPr>
          <w:ilvl w:val="0"/>
          <w:numId w:val="10"/>
        </w:numPr>
        <w:rPr>
          <w:rFonts w:ascii="Arial" w:hAnsi="Arial" w:cs="Arial"/>
          <w:bCs/>
          <w:sz w:val="22"/>
          <w:szCs w:val="22"/>
        </w:rPr>
      </w:pPr>
      <w:r w:rsidRPr="003F60A2">
        <w:rPr>
          <w:rFonts w:ascii="Arial" w:hAnsi="Arial" w:cs="Arial"/>
          <w:bCs/>
          <w:sz w:val="22"/>
          <w:szCs w:val="22"/>
        </w:rPr>
        <w:t xml:space="preserve">Increase in the number of degree programs that align program outcomes with the RWR student-learning outcomes </w:t>
      </w:r>
    </w:p>
    <w:p w:rsidR="00911A0C" w:rsidRPr="003F60A2" w:rsidRDefault="00911A0C" w:rsidP="00911A0C">
      <w:pPr>
        <w:pStyle w:val="ListParagraph"/>
        <w:widowControl w:val="0"/>
        <w:numPr>
          <w:ilvl w:val="0"/>
          <w:numId w:val="10"/>
        </w:numPr>
        <w:rPr>
          <w:rFonts w:ascii="Arial" w:hAnsi="Arial" w:cs="Arial"/>
          <w:bCs/>
          <w:sz w:val="22"/>
          <w:szCs w:val="22"/>
        </w:rPr>
      </w:pPr>
      <w:r>
        <w:rPr>
          <w:rFonts w:ascii="Arial" w:hAnsi="Arial" w:cs="Arial"/>
          <w:bCs/>
          <w:sz w:val="22"/>
          <w:szCs w:val="22"/>
        </w:rPr>
        <w:t>Increase student satisfaction with experiential-learning opportunities</w:t>
      </w:r>
    </w:p>
    <w:p w:rsidR="00911A0C" w:rsidRDefault="00911A0C" w:rsidP="00911A0C"/>
    <w:p w:rsidR="00911A0C" w:rsidRDefault="00911A0C" w:rsidP="00911A0C">
      <w:pPr>
        <w:rPr>
          <w:rFonts w:ascii="Arial" w:hAnsi="Arial" w:cs="Arial"/>
          <w:sz w:val="22"/>
          <w:szCs w:val="22"/>
        </w:rPr>
      </w:pPr>
      <w:r w:rsidRPr="00421B83">
        <w:rPr>
          <w:rFonts w:ascii="Arial" w:hAnsi="Arial" w:cs="Arial"/>
          <w:sz w:val="22"/>
          <w:szCs w:val="22"/>
        </w:rPr>
        <w:t>As described</w:t>
      </w:r>
      <w:r>
        <w:rPr>
          <w:rFonts w:ascii="Arial" w:hAnsi="Arial" w:cs="Arial"/>
          <w:sz w:val="22"/>
          <w:szCs w:val="22"/>
        </w:rPr>
        <w:t xml:space="preserve"> </w:t>
      </w:r>
      <w:r w:rsidRPr="00421B83">
        <w:rPr>
          <w:rFonts w:ascii="Arial" w:hAnsi="Arial" w:cs="Arial"/>
          <w:sz w:val="22"/>
          <w:szCs w:val="22"/>
        </w:rPr>
        <w:t>previously, the QEP Coordinator will work with the Center for Faculty Excellence to offer a number of faculty development workshops in the ar</w:t>
      </w:r>
      <w:r>
        <w:rPr>
          <w:rFonts w:ascii="Arial" w:hAnsi="Arial" w:cs="Arial"/>
          <w:sz w:val="22"/>
          <w:szCs w:val="22"/>
        </w:rPr>
        <w:t>ea of experiential learning.  An</w:t>
      </w:r>
      <w:r w:rsidRPr="00421B83">
        <w:rPr>
          <w:rFonts w:ascii="Arial" w:hAnsi="Arial" w:cs="Arial"/>
          <w:sz w:val="22"/>
          <w:szCs w:val="22"/>
        </w:rPr>
        <w:t xml:space="preserve"> assessment questionnaire will be distributed after all workshops and will include questions regarding satisfaction with the training, as well as content questions to evaluate the effectiveness of the training.</w:t>
      </w:r>
    </w:p>
    <w:p w:rsidR="00911A0C" w:rsidRDefault="00911A0C" w:rsidP="00911A0C">
      <w:pPr>
        <w:rPr>
          <w:rFonts w:ascii="Arial" w:hAnsi="Arial" w:cs="Arial"/>
          <w:sz w:val="22"/>
          <w:szCs w:val="22"/>
        </w:rPr>
      </w:pPr>
    </w:p>
    <w:p w:rsidR="00911A0C" w:rsidRDefault="00911A0C" w:rsidP="00911A0C">
      <w:pPr>
        <w:widowControl w:val="0"/>
        <w:rPr>
          <w:rFonts w:ascii="Arial" w:hAnsi="Arial" w:cs="Arial"/>
          <w:sz w:val="22"/>
          <w:szCs w:val="22"/>
        </w:rPr>
      </w:pPr>
      <w:r w:rsidRPr="000D69B0">
        <w:rPr>
          <w:rFonts w:ascii="Arial" w:hAnsi="Arial" w:cs="Arial"/>
          <w:bCs/>
          <w:sz w:val="22"/>
          <w:szCs w:val="22"/>
        </w:rPr>
        <w:t>Establish</w:t>
      </w:r>
      <w:r>
        <w:rPr>
          <w:rFonts w:ascii="Arial" w:hAnsi="Arial" w:cs="Arial"/>
          <w:bCs/>
          <w:sz w:val="22"/>
          <w:szCs w:val="22"/>
        </w:rPr>
        <w:t>ing</w:t>
      </w:r>
      <w:r w:rsidRPr="000D69B0">
        <w:rPr>
          <w:rFonts w:ascii="Arial" w:hAnsi="Arial" w:cs="Arial"/>
          <w:bCs/>
          <w:sz w:val="22"/>
          <w:szCs w:val="22"/>
        </w:rPr>
        <w:t xml:space="preserve"> a common understanding of what constitutes experiential learning and agreed upon definitions/guidelines for the depth of student </w:t>
      </w:r>
      <w:r>
        <w:rPr>
          <w:rFonts w:ascii="Arial" w:hAnsi="Arial" w:cs="Arial"/>
          <w:bCs/>
          <w:sz w:val="22"/>
          <w:szCs w:val="22"/>
        </w:rPr>
        <w:t>involvement in the experiential-</w:t>
      </w:r>
      <w:r w:rsidRPr="000D69B0">
        <w:rPr>
          <w:rFonts w:ascii="Arial" w:hAnsi="Arial" w:cs="Arial"/>
          <w:bCs/>
          <w:sz w:val="22"/>
          <w:szCs w:val="22"/>
        </w:rPr>
        <w:t xml:space="preserve">learning activity </w:t>
      </w:r>
      <w:r>
        <w:rPr>
          <w:rFonts w:ascii="Arial" w:hAnsi="Arial" w:cs="Arial"/>
          <w:bCs/>
          <w:sz w:val="22"/>
          <w:szCs w:val="22"/>
        </w:rPr>
        <w:t xml:space="preserve">is essential </w:t>
      </w:r>
      <w:r w:rsidRPr="000D69B0">
        <w:rPr>
          <w:rFonts w:ascii="Arial" w:hAnsi="Arial" w:cs="Arial"/>
          <w:bCs/>
          <w:sz w:val="22"/>
          <w:szCs w:val="22"/>
        </w:rPr>
        <w:t xml:space="preserve">to ensure the quality and consistency of RWR experiences across disciplines. </w:t>
      </w:r>
      <w:r>
        <w:rPr>
          <w:rFonts w:ascii="Arial" w:hAnsi="Arial" w:cs="Arial"/>
          <w:sz w:val="22"/>
          <w:szCs w:val="22"/>
        </w:rPr>
        <w:t>The application process fo</w:t>
      </w:r>
      <w:r w:rsidR="00DE14B9">
        <w:rPr>
          <w:rFonts w:ascii="Arial" w:hAnsi="Arial" w:cs="Arial"/>
          <w:sz w:val="22"/>
          <w:szCs w:val="22"/>
        </w:rPr>
        <w:t xml:space="preserve">r the Faculty Grant initiative </w:t>
      </w:r>
      <w:r>
        <w:rPr>
          <w:rFonts w:ascii="Arial" w:hAnsi="Arial" w:cs="Arial"/>
          <w:sz w:val="22"/>
          <w:szCs w:val="22"/>
        </w:rPr>
        <w:t xml:space="preserve">will ensure that QEP designated course sections align with the campus </w:t>
      </w:r>
      <w:r w:rsidRPr="003F60A2">
        <w:rPr>
          <w:rFonts w:ascii="Arial" w:hAnsi="Arial" w:cs="Arial"/>
          <w:bCs/>
          <w:sz w:val="22"/>
          <w:szCs w:val="22"/>
        </w:rPr>
        <w:t xml:space="preserve">definition, guidelines and </w:t>
      </w:r>
      <w:r>
        <w:rPr>
          <w:rFonts w:ascii="Arial" w:hAnsi="Arial" w:cs="Arial"/>
          <w:bCs/>
          <w:sz w:val="22"/>
          <w:szCs w:val="22"/>
        </w:rPr>
        <w:t>student-learning outcomes in the QEP proposal.</w:t>
      </w:r>
    </w:p>
    <w:p w:rsidR="00911A0C" w:rsidRDefault="00911A0C" w:rsidP="00911A0C">
      <w:pPr>
        <w:rPr>
          <w:rFonts w:ascii="Arial" w:hAnsi="Arial" w:cs="Arial"/>
          <w:sz w:val="22"/>
          <w:szCs w:val="22"/>
        </w:rPr>
      </w:pPr>
    </w:p>
    <w:p w:rsidR="00911A0C" w:rsidRPr="007C4FB3" w:rsidRDefault="00911A0C" w:rsidP="00911A0C">
      <w:pPr>
        <w:rPr>
          <w:rFonts w:ascii="Arial" w:hAnsi="Arial" w:cs="Arial"/>
          <w:sz w:val="22"/>
          <w:szCs w:val="22"/>
        </w:rPr>
      </w:pPr>
      <w:r w:rsidRPr="00917232">
        <w:rPr>
          <w:rFonts w:ascii="Arial" w:hAnsi="Arial" w:cs="Arial"/>
          <w:sz w:val="22"/>
          <w:szCs w:val="22"/>
        </w:rPr>
        <w:t>WeaveONLINE®</w:t>
      </w:r>
      <w:r w:rsidRPr="007C4FB3">
        <w:rPr>
          <w:rFonts w:ascii="Arial" w:hAnsi="Arial" w:cs="Arial"/>
          <w:sz w:val="22"/>
          <w:szCs w:val="22"/>
        </w:rPr>
        <w:t xml:space="preserve"> audits will be conducted at the end of Years 3 and 5 </w:t>
      </w:r>
      <w:r>
        <w:rPr>
          <w:rFonts w:ascii="Arial" w:hAnsi="Arial" w:cs="Arial"/>
          <w:sz w:val="22"/>
          <w:szCs w:val="22"/>
        </w:rPr>
        <w:t>t</w:t>
      </w:r>
      <w:r w:rsidRPr="007C4FB3">
        <w:rPr>
          <w:rFonts w:ascii="Arial" w:hAnsi="Arial" w:cs="Arial"/>
          <w:sz w:val="22"/>
          <w:szCs w:val="22"/>
        </w:rPr>
        <w:t xml:space="preserve">o measure the </w:t>
      </w:r>
      <w:r>
        <w:rPr>
          <w:rFonts w:ascii="Arial" w:hAnsi="Arial" w:cs="Arial"/>
          <w:sz w:val="22"/>
          <w:szCs w:val="22"/>
        </w:rPr>
        <w:t>i</w:t>
      </w:r>
      <w:r w:rsidRPr="007C4FB3">
        <w:rPr>
          <w:rFonts w:ascii="Arial" w:hAnsi="Arial" w:cs="Arial"/>
          <w:bCs/>
          <w:sz w:val="22"/>
          <w:szCs w:val="22"/>
        </w:rPr>
        <w:t>ncrease in the number of degree programs that align</w:t>
      </w:r>
      <w:r>
        <w:rPr>
          <w:rFonts w:ascii="Arial" w:hAnsi="Arial" w:cs="Arial"/>
          <w:bCs/>
          <w:sz w:val="22"/>
          <w:szCs w:val="22"/>
        </w:rPr>
        <w:t xml:space="preserve"> program</w:t>
      </w:r>
      <w:r w:rsidRPr="007C4FB3">
        <w:rPr>
          <w:rFonts w:ascii="Arial" w:hAnsi="Arial" w:cs="Arial"/>
          <w:bCs/>
          <w:sz w:val="22"/>
          <w:szCs w:val="22"/>
        </w:rPr>
        <w:t xml:space="preserve"> outcomes with the RWR student-learning</w:t>
      </w:r>
      <w:r>
        <w:rPr>
          <w:rFonts w:ascii="Arial" w:hAnsi="Arial" w:cs="Arial"/>
          <w:bCs/>
          <w:sz w:val="22"/>
          <w:szCs w:val="22"/>
        </w:rPr>
        <w:t xml:space="preserve"> outcomes.  Data will be c</w:t>
      </w:r>
      <w:r w:rsidRPr="007C4FB3">
        <w:rPr>
          <w:rFonts w:ascii="Arial" w:hAnsi="Arial" w:cs="Arial"/>
          <w:sz w:val="22"/>
          <w:szCs w:val="22"/>
        </w:rPr>
        <w:t>ompared with baseline data established in Year 0.</w:t>
      </w:r>
    </w:p>
    <w:p w:rsidR="00911A0C" w:rsidRPr="00421B83" w:rsidRDefault="00911A0C" w:rsidP="00911A0C">
      <w:pPr>
        <w:rPr>
          <w:rFonts w:ascii="Arial" w:hAnsi="Arial" w:cs="Arial"/>
          <w:sz w:val="22"/>
          <w:szCs w:val="22"/>
        </w:rPr>
      </w:pPr>
    </w:p>
    <w:p w:rsidR="00911A0C" w:rsidRPr="003F60A2" w:rsidRDefault="00911A0C" w:rsidP="00911A0C">
      <w:pPr>
        <w:rPr>
          <w:rFonts w:ascii="Arial" w:hAnsi="Arial" w:cs="Arial"/>
          <w:sz w:val="22"/>
          <w:szCs w:val="22"/>
        </w:rPr>
      </w:pPr>
      <w:r>
        <w:rPr>
          <w:rFonts w:ascii="Arial" w:hAnsi="Arial" w:cs="Arial"/>
          <w:sz w:val="22"/>
          <w:szCs w:val="22"/>
        </w:rPr>
        <w:t>To measure student satisfaction with experiential learning, a</w:t>
      </w:r>
      <w:r w:rsidRPr="003F60A2">
        <w:rPr>
          <w:rFonts w:ascii="Arial" w:hAnsi="Arial" w:cs="Arial"/>
          <w:sz w:val="22"/>
          <w:szCs w:val="22"/>
        </w:rPr>
        <w:t xml:space="preserve"> </w:t>
      </w:r>
      <w:r>
        <w:rPr>
          <w:rFonts w:ascii="Arial" w:hAnsi="Arial" w:cs="Arial"/>
          <w:sz w:val="22"/>
          <w:szCs w:val="22"/>
        </w:rPr>
        <w:t>p</w:t>
      </w:r>
      <w:r w:rsidRPr="003F60A2">
        <w:rPr>
          <w:rFonts w:ascii="Arial" w:hAnsi="Arial" w:cs="Arial"/>
          <w:sz w:val="22"/>
          <w:szCs w:val="22"/>
        </w:rPr>
        <w:t>re/post survey will be designed to align with questions on the National Survey of Student Engagement (NSSE), such as, “How much has your experience at this institution contributed to your knowledge, skills, and personal development in…Acquiring job- or work-related knowledge and skills.”  This survey will be given to all students engaged in QEP designated course sections.  Results will be compared to general results obtained from the campus-wide administration of NSSE in Spring 2016, 2018 and 2020.</w:t>
      </w:r>
    </w:p>
    <w:p w:rsidR="00911A0C" w:rsidRDefault="00911A0C" w:rsidP="00911A0C">
      <w:pPr>
        <w:rPr>
          <w:rFonts w:ascii="Arial" w:hAnsi="Arial" w:cs="Arial"/>
          <w:b/>
          <w:bCs/>
          <w:color w:val="D4AC02"/>
        </w:rPr>
      </w:pPr>
    </w:p>
    <w:p w:rsidR="00911A0C" w:rsidRDefault="00911A0C" w:rsidP="00911A0C">
      <w:pPr>
        <w:spacing w:after="200" w:line="276" w:lineRule="auto"/>
        <w:rPr>
          <w:rFonts w:ascii="Arial" w:hAnsi="Arial" w:cs="Arial"/>
          <w:b/>
          <w:bCs/>
          <w:color w:val="D4AC02"/>
        </w:rPr>
      </w:pPr>
      <w:r>
        <w:rPr>
          <w:rFonts w:ascii="Arial" w:hAnsi="Arial" w:cs="Arial"/>
          <w:b/>
          <w:bCs/>
          <w:color w:val="D4AC02"/>
        </w:rPr>
        <w:br w:type="page"/>
      </w:r>
    </w:p>
    <w:p w:rsidR="00911A0C" w:rsidRDefault="00911A0C" w:rsidP="00911A0C">
      <w:pPr>
        <w:rPr>
          <w:rFonts w:ascii="Arial" w:hAnsi="Arial" w:cs="Arial"/>
          <w:b/>
          <w:bCs/>
          <w:color w:val="D4AC02"/>
        </w:rPr>
      </w:pPr>
      <w:r>
        <w:rPr>
          <w:rFonts w:ascii="Arial" w:hAnsi="Arial" w:cs="Arial"/>
          <w:b/>
          <w:bCs/>
          <w:color w:val="D4AC02"/>
        </w:rPr>
        <w:lastRenderedPageBreak/>
        <w:t>ASSESSMENT TIMELINE</w:t>
      </w:r>
    </w:p>
    <w:p w:rsidR="00911A0C" w:rsidRDefault="00911A0C" w:rsidP="00911A0C">
      <w:pPr>
        <w:rPr>
          <w:rFonts w:ascii="Arial" w:hAnsi="Arial" w:cs="Arial"/>
          <w:bCs/>
          <w:sz w:val="22"/>
          <w:szCs w:val="22"/>
        </w:rPr>
      </w:pPr>
      <w:r>
        <w:rPr>
          <w:rFonts w:ascii="Arial" w:hAnsi="Arial" w:cs="Arial"/>
          <w:sz w:val="22"/>
          <w:szCs w:val="22"/>
        </w:rPr>
        <w:t>While a</w:t>
      </w:r>
      <w:r w:rsidRPr="008B053E">
        <w:rPr>
          <w:rFonts w:ascii="Arial" w:hAnsi="Arial" w:cs="Arial"/>
          <w:sz w:val="22"/>
          <w:szCs w:val="22"/>
        </w:rPr>
        <w:t xml:space="preserve"> general timetable for </w:t>
      </w:r>
      <w:r>
        <w:rPr>
          <w:rFonts w:ascii="Arial" w:hAnsi="Arial" w:cs="Arial"/>
          <w:sz w:val="22"/>
          <w:szCs w:val="22"/>
        </w:rPr>
        <w:t>“big-picture” timeline targets of the QEP was provided in</w:t>
      </w:r>
      <w:r w:rsidR="00DE14B9">
        <w:rPr>
          <w:rFonts w:ascii="Arial" w:hAnsi="Arial" w:cs="Arial"/>
          <w:sz w:val="22"/>
          <w:szCs w:val="22"/>
        </w:rPr>
        <w:t xml:space="preserve"> Section VII of the QEP,</w:t>
      </w:r>
      <w:r w:rsidR="00DE14B9">
        <w:t xml:space="preserve"> </w:t>
      </w:r>
      <w:r>
        <w:rPr>
          <w:rFonts w:ascii="Arial" w:hAnsi="Arial" w:cs="Arial"/>
          <w:sz w:val="22"/>
          <w:szCs w:val="22"/>
        </w:rPr>
        <w:t>t</w:t>
      </w:r>
      <w:r>
        <w:rPr>
          <w:rFonts w:ascii="Arial" w:hAnsi="Arial" w:cs="Arial"/>
          <w:bCs/>
          <w:sz w:val="22"/>
          <w:szCs w:val="22"/>
        </w:rPr>
        <w:t xml:space="preserve">he timeline below provides a summary of and schedule for assessment activities. </w:t>
      </w:r>
    </w:p>
    <w:p w:rsidR="00911A0C" w:rsidRPr="007229C0" w:rsidRDefault="00911A0C" w:rsidP="00911A0C">
      <w:pPr>
        <w:rPr>
          <w:rFonts w:ascii="Arial" w:hAnsi="Arial" w:cs="Arial"/>
          <w:b/>
          <w:bCs/>
          <w:color w:val="D4AC02"/>
        </w:rPr>
      </w:pPr>
    </w:p>
    <w:tbl>
      <w:tblPr>
        <w:tblStyle w:val="TableGrid"/>
        <w:tblW w:w="10008" w:type="dxa"/>
        <w:tblLayout w:type="fixed"/>
        <w:tblLook w:val="04A0" w:firstRow="1" w:lastRow="0" w:firstColumn="1" w:lastColumn="0" w:noHBand="0" w:noVBand="1"/>
      </w:tblPr>
      <w:tblGrid>
        <w:gridCol w:w="18"/>
        <w:gridCol w:w="1080"/>
        <w:gridCol w:w="720"/>
        <w:gridCol w:w="8172"/>
        <w:gridCol w:w="18"/>
      </w:tblGrid>
      <w:tr w:rsidR="00911A0C" w:rsidRPr="00A94264" w:rsidTr="00EA6A56">
        <w:trPr>
          <w:gridBefore w:val="1"/>
          <w:wBefore w:w="18" w:type="dxa"/>
        </w:trPr>
        <w:tc>
          <w:tcPr>
            <w:tcW w:w="9990" w:type="dxa"/>
            <w:gridSpan w:val="4"/>
            <w:shd w:val="clear" w:color="auto" w:fill="006648"/>
            <w:vAlign w:val="center"/>
          </w:tcPr>
          <w:p w:rsidR="00911A0C" w:rsidRPr="00317DEE" w:rsidRDefault="00911A0C" w:rsidP="00EA6A56">
            <w:pPr>
              <w:ind w:left="360"/>
              <w:jc w:val="center"/>
              <w:rPr>
                <w:rFonts w:ascii="Arial" w:hAnsi="Arial" w:cs="Arial"/>
                <w:b/>
                <w:color w:val="FFFFFF" w:themeColor="background1"/>
                <w:sz w:val="28"/>
                <w:szCs w:val="28"/>
              </w:rPr>
            </w:pPr>
            <w:r w:rsidRPr="00317DEE">
              <w:rPr>
                <w:rFonts w:ascii="Arial" w:hAnsi="Arial" w:cs="Arial"/>
                <w:b/>
                <w:color w:val="FFFFFF" w:themeColor="background1"/>
                <w:sz w:val="28"/>
                <w:szCs w:val="28"/>
              </w:rPr>
              <w:t>ASSESSMENT TIMELINE</w:t>
            </w:r>
          </w:p>
        </w:tc>
      </w:tr>
      <w:tr w:rsidR="00911A0C" w:rsidRPr="00A94264" w:rsidTr="00EA6A56">
        <w:trPr>
          <w:gridAfter w:val="1"/>
          <w:wAfter w:w="18" w:type="dxa"/>
          <w:cantSplit/>
          <w:trHeight w:val="1134"/>
        </w:trPr>
        <w:tc>
          <w:tcPr>
            <w:tcW w:w="1098" w:type="dxa"/>
            <w:gridSpan w:val="2"/>
            <w:vMerge w:val="restart"/>
          </w:tcPr>
          <w:p w:rsidR="00911A0C" w:rsidRDefault="00911A0C" w:rsidP="00EA6A56">
            <w:pPr>
              <w:jc w:val="center"/>
              <w:rPr>
                <w:rFonts w:ascii="Arial" w:hAnsi="Arial" w:cs="Arial"/>
                <w:sz w:val="20"/>
                <w:szCs w:val="20"/>
              </w:rPr>
            </w:pPr>
            <w:r w:rsidRPr="005615F6">
              <w:rPr>
                <w:rFonts w:ascii="Arial" w:hAnsi="Arial" w:cs="Arial"/>
                <w:b/>
                <w:sz w:val="28"/>
                <w:szCs w:val="28"/>
              </w:rPr>
              <w:t>Year 0</w:t>
            </w:r>
          </w:p>
          <w:p w:rsidR="00911A0C" w:rsidRDefault="00911A0C" w:rsidP="00EA6A56">
            <w:pPr>
              <w:jc w:val="center"/>
              <w:rPr>
                <w:rFonts w:ascii="Arial" w:hAnsi="Arial" w:cs="Arial"/>
                <w:sz w:val="20"/>
                <w:szCs w:val="20"/>
              </w:rPr>
            </w:pPr>
          </w:p>
          <w:p w:rsidR="00911A0C" w:rsidRDefault="00911A0C" w:rsidP="00EA6A56">
            <w:pPr>
              <w:jc w:val="center"/>
              <w:rPr>
                <w:rFonts w:ascii="Arial" w:hAnsi="Arial" w:cs="Arial"/>
                <w:sz w:val="20"/>
                <w:szCs w:val="20"/>
              </w:rPr>
            </w:pPr>
          </w:p>
          <w:p w:rsidR="00911A0C" w:rsidRPr="00A94264" w:rsidRDefault="00911A0C" w:rsidP="00EA6A56">
            <w:pPr>
              <w:tabs>
                <w:tab w:val="left" w:pos="720"/>
              </w:tabs>
              <w:rPr>
                <w:rFonts w:ascii="Arial" w:hAnsi="Arial" w:cs="Arial"/>
                <w:sz w:val="20"/>
                <w:szCs w:val="20"/>
              </w:rPr>
            </w:pPr>
            <w:r w:rsidRPr="005615F6">
              <w:rPr>
                <w:rFonts w:ascii="Arial" w:hAnsi="Arial" w:cs="Arial"/>
                <w:noProof/>
                <w:sz w:val="20"/>
                <w:szCs w:val="20"/>
              </w:rPr>
              <w:drawing>
                <wp:inline distT="0" distB="0" distL="0" distR="0" wp14:anchorId="3AFD67E7" wp14:editId="2687D738">
                  <wp:extent cx="880652" cy="372831"/>
                  <wp:effectExtent l="0" t="247650" r="0" b="236769"/>
                  <wp:docPr id="16" name="Picture 9" descr="C:\Users\UserSELU\Downloads\qep_logo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SELU\Downloads\qep_logo_sheet.jpg"/>
                          <pic:cNvPicPr>
                            <a:picLocks noChangeAspect="1" noChangeArrowheads="1"/>
                          </pic:cNvPicPr>
                        </pic:nvPicPr>
                        <pic:blipFill>
                          <a:blip r:embed="rId13" cstate="print"/>
                          <a:srcRect/>
                          <a:stretch>
                            <a:fillRect/>
                          </a:stretch>
                        </pic:blipFill>
                        <pic:spPr bwMode="auto">
                          <a:xfrm rot="5400000">
                            <a:off x="0" y="0"/>
                            <a:ext cx="881809" cy="373321"/>
                          </a:xfrm>
                          <a:prstGeom prst="rect">
                            <a:avLst/>
                          </a:prstGeom>
                          <a:noFill/>
                          <a:ln w="9525">
                            <a:noFill/>
                            <a:miter lim="800000"/>
                            <a:headEnd/>
                            <a:tailEnd/>
                          </a:ln>
                        </pic:spPr>
                      </pic:pic>
                    </a:graphicData>
                  </a:graphic>
                </wp:inline>
              </w:drawing>
            </w: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Fall 2014</w:t>
            </w:r>
          </w:p>
          <w:p w:rsidR="00911A0C" w:rsidRPr="00996FD2" w:rsidRDefault="00911A0C" w:rsidP="00EA6A56">
            <w:pPr>
              <w:ind w:left="113" w:right="113"/>
              <w:jc w:val="center"/>
              <w:rPr>
                <w:rFonts w:ascii="Arial" w:hAnsi="Arial" w:cs="Arial"/>
                <w:sz w:val="18"/>
                <w:szCs w:val="18"/>
              </w:rPr>
            </w:pPr>
          </w:p>
        </w:tc>
        <w:tc>
          <w:tcPr>
            <w:tcW w:w="8172" w:type="dxa"/>
          </w:tcPr>
          <w:p w:rsidR="00911A0C" w:rsidRDefault="00911A0C" w:rsidP="00911A0C">
            <w:pPr>
              <w:pStyle w:val="ListParagraph"/>
              <w:numPr>
                <w:ilvl w:val="0"/>
                <w:numId w:val="5"/>
              </w:numPr>
              <w:ind w:left="360"/>
              <w:rPr>
                <w:rFonts w:ascii="Arial" w:hAnsi="Arial" w:cs="Arial"/>
                <w:sz w:val="20"/>
                <w:szCs w:val="20"/>
              </w:rPr>
            </w:pPr>
            <w:r>
              <w:rPr>
                <w:rFonts w:ascii="Arial" w:hAnsi="Arial" w:cs="Arial"/>
                <w:sz w:val="20"/>
                <w:szCs w:val="20"/>
              </w:rPr>
              <w:t xml:space="preserve">Campus discussions of assessment strategy continue. Conversations include pilot faculty, the QEP Coordinator, the Assistant Vice-President for Institutional Effectiveness and members of the QEP Design Team.  </w:t>
            </w:r>
          </w:p>
          <w:p w:rsidR="00911A0C" w:rsidRDefault="00911A0C" w:rsidP="00911A0C">
            <w:pPr>
              <w:pStyle w:val="ListParagraph"/>
              <w:numPr>
                <w:ilvl w:val="0"/>
                <w:numId w:val="5"/>
              </w:numPr>
              <w:ind w:left="360"/>
              <w:rPr>
                <w:rFonts w:ascii="Arial" w:hAnsi="Arial" w:cs="Arial"/>
                <w:sz w:val="20"/>
                <w:szCs w:val="20"/>
              </w:rPr>
            </w:pPr>
            <w:r>
              <w:rPr>
                <w:rFonts w:ascii="Arial" w:hAnsi="Arial" w:cs="Arial"/>
                <w:sz w:val="20"/>
                <w:szCs w:val="20"/>
              </w:rPr>
              <w:t>Draft rubrics are created for each student learning outcome for use in the Spring 2015 pilot (e.g. adaptations of AAC&amp;U VALUE Rubrics).  Rubrics align with the holistic Master Rubric created by the QEP Assessment subcommittee.</w:t>
            </w:r>
          </w:p>
          <w:p w:rsidR="00911A0C" w:rsidRDefault="00911A0C" w:rsidP="00911A0C">
            <w:pPr>
              <w:pStyle w:val="ListParagraph"/>
              <w:numPr>
                <w:ilvl w:val="0"/>
                <w:numId w:val="5"/>
              </w:numPr>
              <w:ind w:left="360"/>
              <w:rPr>
                <w:rFonts w:ascii="Arial" w:hAnsi="Arial" w:cs="Arial"/>
                <w:sz w:val="20"/>
                <w:szCs w:val="20"/>
              </w:rPr>
            </w:pPr>
            <w:r>
              <w:rPr>
                <w:rFonts w:ascii="Arial" w:hAnsi="Arial" w:cs="Arial"/>
                <w:sz w:val="20"/>
                <w:szCs w:val="20"/>
              </w:rPr>
              <w:t>Draft pre/post student survey is created for Spring 2015 pilot.</w:t>
            </w:r>
          </w:p>
          <w:p w:rsidR="00911A0C" w:rsidRDefault="00911A0C" w:rsidP="00911A0C">
            <w:pPr>
              <w:pStyle w:val="ListParagraph"/>
              <w:numPr>
                <w:ilvl w:val="0"/>
                <w:numId w:val="5"/>
              </w:numPr>
              <w:ind w:left="360"/>
              <w:rPr>
                <w:rFonts w:ascii="Arial" w:hAnsi="Arial" w:cs="Arial"/>
                <w:sz w:val="20"/>
                <w:szCs w:val="20"/>
              </w:rPr>
            </w:pPr>
            <w:r w:rsidRPr="00B46F7D">
              <w:rPr>
                <w:rFonts w:ascii="Arial" w:hAnsi="Arial" w:cs="Arial"/>
                <w:color w:val="222222"/>
                <w:sz w:val="20"/>
                <w:szCs w:val="20"/>
                <w:shd w:val="clear" w:color="auto" w:fill="FFFFFF"/>
              </w:rPr>
              <w:t>WeaveONLINE® audit</w:t>
            </w:r>
            <w:r>
              <w:rPr>
                <w:rFonts w:ascii="Arial" w:hAnsi="Arial" w:cs="Arial"/>
                <w:color w:val="222222"/>
                <w:shd w:val="clear" w:color="auto" w:fill="FFFFFF"/>
              </w:rPr>
              <w:t xml:space="preserve"> </w:t>
            </w:r>
            <w:r>
              <w:rPr>
                <w:rFonts w:ascii="Arial" w:hAnsi="Arial" w:cs="Arial"/>
                <w:sz w:val="20"/>
                <w:szCs w:val="20"/>
              </w:rPr>
              <w:t>of student learning outcomes (SLOs) for degree programs to establish baseline for number of degree SLOs that align with QEP SLOs.</w:t>
            </w:r>
          </w:p>
          <w:p w:rsidR="00911A0C" w:rsidRPr="00A839FE" w:rsidRDefault="00911A0C" w:rsidP="00EA6A56">
            <w:pPr>
              <w:pStyle w:val="ListParagraph"/>
              <w:ind w:left="360"/>
              <w:rPr>
                <w:rFonts w:ascii="Arial" w:hAnsi="Arial" w:cs="Arial"/>
                <w:sz w:val="20"/>
                <w:szCs w:val="20"/>
              </w:rPr>
            </w:pPr>
          </w:p>
        </w:tc>
      </w:tr>
      <w:tr w:rsidR="00911A0C" w:rsidRPr="00A94264" w:rsidTr="00EA6A56">
        <w:trPr>
          <w:gridAfter w:val="1"/>
          <w:wAfter w:w="18" w:type="dxa"/>
          <w:cantSplit/>
          <w:trHeight w:val="1134"/>
        </w:trPr>
        <w:tc>
          <w:tcPr>
            <w:tcW w:w="1098" w:type="dxa"/>
            <w:gridSpan w:val="2"/>
            <w:vMerge/>
          </w:tcPr>
          <w:p w:rsidR="00911A0C" w:rsidRPr="00A94264" w:rsidRDefault="00911A0C" w:rsidP="00EA6A56">
            <w:pPr>
              <w:jc w:val="center"/>
              <w:rPr>
                <w:rFonts w:ascii="Arial" w:hAnsi="Arial" w:cs="Arial"/>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Spring 2015</w:t>
            </w:r>
          </w:p>
        </w:tc>
        <w:tc>
          <w:tcPr>
            <w:tcW w:w="8172" w:type="dxa"/>
          </w:tcPr>
          <w:p w:rsidR="00911A0C" w:rsidRDefault="00911A0C" w:rsidP="00911A0C">
            <w:pPr>
              <w:pStyle w:val="ListParagraph"/>
              <w:numPr>
                <w:ilvl w:val="0"/>
                <w:numId w:val="5"/>
              </w:numPr>
              <w:ind w:left="360"/>
              <w:rPr>
                <w:rFonts w:ascii="Arial" w:hAnsi="Arial" w:cs="Arial"/>
                <w:sz w:val="20"/>
                <w:szCs w:val="20"/>
              </w:rPr>
            </w:pPr>
            <w:r w:rsidRPr="000C5942">
              <w:rPr>
                <w:rFonts w:ascii="Arial" w:hAnsi="Arial" w:cs="Arial"/>
                <w:sz w:val="20"/>
                <w:szCs w:val="20"/>
              </w:rPr>
              <w:t>Pilot course</w:t>
            </w:r>
            <w:r>
              <w:rPr>
                <w:rFonts w:ascii="Arial" w:hAnsi="Arial" w:cs="Arial"/>
                <w:sz w:val="20"/>
                <w:szCs w:val="20"/>
              </w:rPr>
              <w:t xml:space="preserve"> sections</w:t>
            </w:r>
            <w:r w:rsidRPr="000C5942">
              <w:rPr>
                <w:rFonts w:ascii="Arial" w:hAnsi="Arial" w:cs="Arial"/>
                <w:sz w:val="20"/>
                <w:szCs w:val="20"/>
              </w:rPr>
              <w:t xml:space="preserve"> assess </w:t>
            </w:r>
            <w:r w:rsidRPr="000C5942">
              <w:rPr>
                <w:rFonts w:ascii="Arial" w:hAnsi="Arial" w:cs="Arial"/>
                <w:b/>
                <w:sz w:val="20"/>
                <w:szCs w:val="20"/>
              </w:rPr>
              <w:t>The Experience</w:t>
            </w:r>
            <w:r w:rsidRPr="000C5942">
              <w:rPr>
                <w:rFonts w:ascii="Arial" w:hAnsi="Arial" w:cs="Arial"/>
                <w:sz w:val="20"/>
                <w:szCs w:val="20"/>
              </w:rPr>
              <w:t xml:space="preserve">, </w:t>
            </w:r>
            <w:r w:rsidRPr="000C5942">
              <w:rPr>
                <w:rFonts w:ascii="Arial" w:hAnsi="Arial" w:cs="Arial"/>
                <w:b/>
                <w:sz w:val="20"/>
                <w:szCs w:val="20"/>
              </w:rPr>
              <w:t>The Work</w:t>
            </w:r>
            <w:r w:rsidRPr="000C5942">
              <w:rPr>
                <w:rFonts w:ascii="Arial" w:hAnsi="Arial" w:cs="Arial"/>
                <w:sz w:val="20"/>
                <w:szCs w:val="20"/>
              </w:rPr>
              <w:t xml:space="preserve"> and </w:t>
            </w:r>
            <w:r w:rsidRPr="000C5942">
              <w:rPr>
                <w:rFonts w:ascii="Arial" w:hAnsi="Arial" w:cs="Arial"/>
                <w:b/>
                <w:sz w:val="20"/>
                <w:szCs w:val="20"/>
              </w:rPr>
              <w:t>The Behavior</w:t>
            </w:r>
            <w:r w:rsidRPr="000C5942">
              <w:rPr>
                <w:rFonts w:ascii="Arial" w:hAnsi="Arial" w:cs="Arial"/>
                <w:sz w:val="20"/>
                <w:szCs w:val="20"/>
              </w:rPr>
              <w:t xml:space="preserve"> using </w:t>
            </w:r>
            <w:r>
              <w:rPr>
                <w:rFonts w:ascii="Arial" w:hAnsi="Arial" w:cs="Arial"/>
                <w:sz w:val="20"/>
                <w:szCs w:val="20"/>
              </w:rPr>
              <w:t>the draft rubrics.</w:t>
            </w:r>
            <w:r w:rsidRPr="000C5942">
              <w:rPr>
                <w:rFonts w:ascii="Arial" w:hAnsi="Arial" w:cs="Arial"/>
                <w:sz w:val="20"/>
                <w:szCs w:val="20"/>
              </w:rPr>
              <w:t xml:space="preserve">  </w:t>
            </w:r>
          </w:p>
          <w:p w:rsidR="00911A0C" w:rsidRPr="000C5942" w:rsidRDefault="00911A0C" w:rsidP="00911A0C">
            <w:pPr>
              <w:pStyle w:val="ListParagraph"/>
              <w:numPr>
                <w:ilvl w:val="0"/>
                <w:numId w:val="5"/>
              </w:numPr>
              <w:ind w:left="360"/>
              <w:rPr>
                <w:rFonts w:ascii="Arial" w:hAnsi="Arial" w:cs="Arial"/>
                <w:sz w:val="20"/>
                <w:szCs w:val="20"/>
              </w:rPr>
            </w:pPr>
            <w:r w:rsidRPr="000C5942">
              <w:rPr>
                <w:rFonts w:ascii="Arial" w:hAnsi="Arial" w:cs="Arial"/>
                <w:sz w:val="20"/>
                <w:szCs w:val="20"/>
              </w:rPr>
              <w:t>Pilot course</w:t>
            </w:r>
            <w:r>
              <w:rPr>
                <w:rFonts w:ascii="Arial" w:hAnsi="Arial" w:cs="Arial"/>
                <w:sz w:val="20"/>
                <w:szCs w:val="20"/>
              </w:rPr>
              <w:t xml:space="preserve"> section</w:t>
            </w:r>
            <w:r w:rsidRPr="000C5942">
              <w:rPr>
                <w:rFonts w:ascii="Arial" w:hAnsi="Arial" w:cs="Arial"/>
                <w:sz w:val="20"/>
                <w:szCs w:val="20"/>
              </w:rPr>
              <w:t>s implement a draft of the pre/post survey.</w:t>
            </w:r>
          </w:p>
          <w:p w:rsidR="00911A0C" w:rsidRDefault="00911A0C" w:rsidP="00911A0C">
            <w:pPr>
              <w:pStyle w:val="ListParagraph"/>
              <w:numPr>
                <w:ilvl w:val="0"/>
                <w:numId w:val="5"/>
              </w:numPr>
              <w:ind w:left="360"/>
              <w:rPr>
                <w:rFonts w:ascii="Arial" w:hAnsi="Arial" w:cs="Arial"/>
                <w:sz w:val="20"/>
                <w:szCs w:val="20"/>
              </w:rPr>
            </w:pPr>
            <w:r>
              <w:rPr>
                <w:rFonts w:ascii="Arial" w:hAnsi="Arial" w:cs="Arial"/>
                <w:sz w:val="20"/>
                <w:szCs w:val="20"/>
              </w:rPr>
              <w:t>Campus discussions of assessment strategy continue as draft instruments (e.g. pre-post survey) are shared and reviewed. Additional modifications are pending pilot results.</w:t>
            </w:r>
          </w:p>
          <w:p w:rsidR="00911A0C" w:rsidRDefault="00911A0C" w:rsidP="00911A0C">
            <w:pPr>
              <w:pStyle w:val="ListParagraph"/>
              <w:numPr>
                <w:ilvl w:val="0"/>
                <w:numId w:val="6"/>
              </w:numPr>
              <w:ind w:left="360"/>
              <w:rPr>
                <w:rFonts w:ascii="Arial" w:hAnsi="Arial" w:cs="Arial"/>
                <w:sz w:val="20"/>
                <w:szCs w:val="20"/>
              </w:rPr>
            </w:pPr>
            <w:r>
              <w:rPr>
                <w:rFonts w:ascii="Arial" w:hAnsi="Arial" w:cs="Arial"/>
                <w:sz w:val="20"/>
                <w:szCs w:val="20"/>
              </w:rPr>
              <w:t>Pilot faculty report assessment results to QEP Coordinator in aggregate form. Faculty also submit an action plan which includes analysis of results and plans for future improvements.</w:t>
            </w:r>
          </w:p>
          <w:p w:rsidR="00911A0C" w:rsidRPr="00A839FE" w:rsidRDefault="00911A0C" w:rsidP="00EA6A56">
            <w:pPr>
              <w:pStyle w:val="ListParagraph"/>
              <w:ind w:left="360"/>
              <w:rPr>
                <w:rFonts w:ascii="Arial" w:hAnsi="Arial" w:cs="Arial"/>
                <w:sz w:val="20"/>
                <w:szCs w:val="20"/>
              </w:rPr>
            </w:pPr>
          </w:p>
        </w:tc>
      </w:tr>
      <w:tr w:rsidR="00911A0C" w:rsidRPr="00A94264" w:rsidTr="00EA6A56">
        <w:trPr>
          <w:gridAfter w:val="1"/>
          <w:wAfter w:w="18" w:type="dxa"/>
          <w:cantSplit/>
          <w:trHeight w:val="1134"/>
        </w:trPr>
        <w:tc>
          <w:tcPr>
            <w:tcW w:w="1098" w:type="dxa"/>
            <w:gridSpan w:val="2"/>
            <w:vMerge/>
          </w:tcPr>
          <w:p w:rsidR="00911A0C" w:rsidRPr="00A94264" w:rsidRDefault="00911A0C" w:rsidP="00EA6A56">
            <w:pPr>
              <w:jc w:val="center"/>
              <w:rPr>
                <w:rFonts w:ascii="Arial" w:hAnsi="Arial" w:cs="Arial"/>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Summer 2015</w:t>
            </w:r>
          </w:p>
        </w:tc>
        <w:tc>
          <w:tcPr>
            <w:tcW w:w="8172" w:type="dxa"/>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 xml:space="preserve">The QEP Coordinator compiles the data and writes a report.  Data collected through the application of the rubrics will include individual student ratings for each rubric category.  Statistics to be generated include number and percentage of ratings levels within each rating category (e.g. 37 students or 88% Exceeded Expectations in the Connections to Discipline category). </w:t>
            </w:r>
          </w:p>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 xml:space="preserve">The QEP Coordinator distributes report and discussions are held with Provost, RWR Advisory Council, pilot faculty, AVP for Institutional Effectiveness, etc. Existing </w:t>
            </w:r>
            <w:r w:rsidRPr="00EB4019">
              <w:rPr>
                <w:rFonts w:ascii="Arial" w:hAnsi="Arial" w:cs="Arial"/>
                <w:sz w:val="20"/>
                <w:szCs w:val="20"/>
              </w:rPr>
              <w:t>implementation plans are modified as needed and targets are established to ensure we are moving towards a successful result.</w:t>
            </w:r>
          </w:p>
          <w:p w:rsidR="00911A0C" w:rsidRPr="00783628" w:rsidRDefault="00911A0C" w:rsidP="00EA6A56">
            <w:pPr>
              <w:pStyle w:val="ListParagraph"/>
              <w:ind w:left="360"/>
              <w:rPr>
                <w:rFonts w:ascii="Arial" w:hAnsi="Arial" w:cs="Arial"/>
                <w:sz w:val="20"/>
                <w:szCs w:val="20"/>
              </w:rPr>
            </w:pPr>
          </w:p>
        </w:tc>
      </w:tr>
      <w:tr w:rsidR="00911A0C" w:rsidRPr="00A94264" w:rsidTr="00EA6A56">
        <w:trPr>
          <w:gridAfter w:val="1"/>
          <w:wAfter w:w="18" w:type="dxa"/>
          <w:cantSplit/>
          <w:trHeight w:val="1160"/>
        </w:trPr>
        <w:tc>
          <w:tcPr>
            <w:tcW w:w="1098" w:type="dxa"/>
            <w:gridSpan w:val="2"/>
            <w:vMerge w:val="restart"/>
          </w:tcPr>
          <w:p w:rsidR="00911A0C" w:rsidRDefault="00911A0C" w:rsidP="00EA6A56">
            <w:pPr>
              <w:jc w:val="center"/>
              <w:rPr>
                <w:rFonts w:ascii="Arial" w:hAnsi="Arial" w:cs="Arial"/>
                <w:sz w:val="20"/>
                <w:szCs w:val="20"/>
              </w:rPr>
            </w:pPr>
            <w:r w:rsidRPr="009508DF">
              <w:rPr>
                <w:rFonts w:ascii="Arial" w:hAnsi="Arial" w:cs="Arial"/>
                <w:b/>
                <w:sz w:val="28"/>
                <w:szCs w:val="28"/>
              </w:rPr>
              <w:t>Year 1</w:t>
            </w:r>
          </w:p>
          <w:p w:rsidR="00911A0C" w:rsidRDefault="00911A0C" w:rsidP="00EA6A56">
            <w:pPr>
              <w:jc w:val="center"/>
              <w:rPr>
                <w:rFonts w:ascii="Arial" w:hAnsi="Arial" w:cs="Arial"/>
                <w:sz w:val="20"/>
                <w:szCs w:val="20"/>
              </w:rPr>
            </w:pPr>
          </w:p>
          <w:p w:rsidR="00911A0C" w:rsidRDefault="00911A0C" w:rsidP="00EA6A56">
            <w:pPr>
              <w:jc w:val="center"/>
              <w:rPr>
                <w:rFonts w:ascii="Arial" w:hAnsi="Arial" w:cs="Arial"/>
                <w:sz w:val="20"/>
                <w:szCs w:val="20"/>
              </w:rPr>
            </w:pPr>
          </w:p>
          <w:p w:rsidR="00911A0C" w:rsidRPr="00A94264" w:rsidRDefault="00911A0C" w:rsidP="00EA6A56">
            <w:pPr>
              <w:rPr>
                <w:rFonts w:ascii="Arial" w:hAnsi="Arial" w:cs="Arial"/>
                <w:sz w:val="20"/>
                <w:szCs w:val="20"/>
              </w:rPr>
            </w:pPr>
            <w:r w:rsidRPr="00E87E2F">
              <w:rPr>
                <w:rFonts w:ascii="Arial" w:hAnsi="Arial" w:cs="Arial"/>
                <w:noProof/>
                <w:sz w:val="20"/>
                <w:szCs w:val="20"/>
              </w:rPr>
              <w:drawing>
                <wp:inline distT="0" distB="0" distL="0" distR="0" wp14:anchorId="44585211" wp14:editId="0B511E09">
                  <wp:extent cx="880652" cy="372831"/>
                  <wp:effectExtent l="0" t="247650" r="0" b="236769"/>
                  <wp:docPr id="25" name="Picture 9" descr="C:\Users\UserSELU\Downloads\qep_logo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SELU\Downloads\qep_logo_sheet.jpg"/>
                          <pic:cNvPicPr>
                            <a:picLocks noChangeAspect="1" noChangeArrowheads="1"/>
                          </pic:cNvPicPr>
                        </pic:nvPicPr>
                        <pic:blipFill>
                          <a:blip r:embed="rId13" cstate="print"/>
                          <a:srcRect/>
                          <a:stretch>
                            <a:fillRect/>
                          </a:stretch>
                        </pic:blipFill>
                        <pic:spPr bwMode="auto">
                          <a:xfrm rot="5400000">
                            <a:off x="0" y="0"/>
                            <a:ext cx="881809" cy="373321"/>
                          </a:xfrm>
                          <a:prstGeom prst="rect">
                            <a:avLst/>
                          </a:prstGeom>
                          <a:noFill/>
                          <a:ln w="9525">
                            <a:noFill/>
                            <a:miter lim="800000"/>
                            <a:headEnd/>
                            <a:tailEnd/>
                          </a:ln>
                        </pic:spPr>
                      </pic:pic>
                    </a:graphicData>
                  </a:graphic>
                </wp:inline>
              </w:drawing>
            </w: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Fall 2015</w:t>
            </w:r>
          </w:p>
          <w:p w:rsidR="00911A0C" w:rsidRPr="00996FD2" w:rsidRDefault="00911A0C" w:rsidP="00EA6A56">
            <w:pPr>
              <w:ind w:left="113" w:right="113"/>
              <w:jc w:val="center"/>
              <w:rPr>
                <w:rFonts w:ascii="Arial" w:hAnsi="Arial" w:cs="Arial"/>
                <w:sz w:val="18"/>
                <w:szCs w:val="18"/>
              </w:rPr>
            </w:pPr>
          </w:p>
        </w:tc>
        <w:tc>
          <w:tcPr>
            <w:tcW w:w="8172" w:type="dxa"/>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 xml:space="preserve">Assessment strategy and pre-post survey is finalized based on improvements and modifications suggested by pilot results and campus conversations. </w:t>
            </w:r>
          </w:p>
          <w:p w:rsidR="00911A0C" w:rsidRPr="00B150DF"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Assessment plans are ready for use in the first round of QEP-designated course sections scheduled for Spring 2016.</w:t>
            </w:r>
          </w:p>
        </w:tc>
      </w:tr>
      <w:tr w:rsidR="00911A0C" w:rsidRPr="00A94264" w:rsidTr="00EA6A56">
        <w:trPr>
          <w:gridAfter w:val="1"/>
          <w:wAfter w:w="18" w:type="dxa"/>
          <w:cantSplit/>
          <w:trHeight w:val="1790"/>
        </w:trPr>
        <w:tc>
          <w:tcPr>
            <w:tcW w:w="1098" w:type="dxa"/>
            <w:gridSpan w:val="2"/>
            <w:vMerge/>
          </w:tcPr>
          <w:p w:rsidR="00911A0C" w:rsidRPr="00A94264" w:rsidRDefault="00911A0C" w:rsidP="00EA6A56">
            <w:pPr>
              <w:jc w:val="center"/>
              <w:rPr>
                <w:rFonts w:ascii="Arial" w:hAnsi="Arial" w:cs="Arial"/>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Spring 2016</w:t>
            </w:r>
          </w:p>
          <w:p w:rsidR="00911A0C" w:rsidRPr="00996FD2" w:rsidRDefault="00911A0C" w:rsidP="00EA6A56">
            <w:pPr>
              <w:ind w:left="113" w:right="113"/>
              <w:jc w:val="center"/>
              <w:rPr>
                <w:rFonts w:ascii="Arial" w:hAnsi="Arial" w:cs="Arial"/>
                <w:sz w:val="18"/>
                <w:szCs w:val="18"/>
              </w:rPr>
            </w:pPr>
          </w:p>
        </w:tc>
        <w:tc>
          <w:tcPr>
            <w:tcW w:w="8172" w:type="dxa"/>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Begin first round of QEP-designated course sections.</w:t>
            </w:r>
          </w:p>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The Office of Institutional Research administers the National Survey for Student Engagement and Southeastern’s Employer Survey.  Results are used to determine baseline data.</w:t>
            </w:r>
          </w:p>
          <w:p w:rsidR="00911A0C" w:rsidRPr="00B150DF"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Faculty teaching QEP-designated course sections report assessment results to QEP Coordinator in aggregate form. Faculty also submit an action plan which includes analysis of results and plans for future improvements.</w:t>
            </w:r>
          </w:p>
        </w:tc>
      </w:tr>
      <w:tr w:rsidR="00911A0C" w:rsidRPr="00A94264" w:rsidTr="00EA6A56">
        <w:trPr>
          <w:gridAfter w:val="1"/>
          <w:wAfter w:w="18" w:type="dxa"/>
          <w:cantSplit/>
          <w:trHeight w:val="1134"/>
        </w:trPr>
        <w:tc>
          <w:tcPr>
            <w:tcW w:w="1098" w:type="dxa"/>
            <w:gridSpan w:val="2"/>
            <w:vMerge/>
          </w:tcPr>
          <w:p w:rsidR="00911A0C" w:rsidRPr="00A94264" w:rsidRDefault="00911A0C" w:rsidP="00EA6A56">
            <w:pPr>
              <w:jc w:val="center"/>
              <w:rPr>
                <w:rFonts w:ascii="Arial" w:hAnsi="Arial" w:cs="Arial"/>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Summer</w:t>
            </w:r>
          </w:p>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2016</w:t>
            </w:r>
          </w:p>
        </w:tc>
        <w:tc>
          <w:tcPr>
            <w:tcW w:w="8172" w:type="dxa"/>
          </w:tcPr>
          <w:p w:rsidR="00911A0C" w:rsidRPr="00C219D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The QEP Coordinator compiles the data, writes and distributes report. Assessment instruments and implementation plans are modified as needed based on results/ improvements suggested by Year 1 report and campus conversations.</w:t>
            </w:r>
          </w:p>
        </w:tc>
      </w:tr>
      <w:tr w:rsidR="00911A0C" w:rsidRPr="00A94264" w:rsidTr="00EA6A56">
        <w:trPr>
          <w:gridBefore w:val="1"/>
          <w:wBefore w:w="18" w:type="dxa"/>
          <w:cantSplit/>
          <w:trHeight w:val="935"/>
        </w:trPr>
        <w:tc>
          <w:tcPr>
            <w:tcW w:w="1080" w:type="dxa"/>
            <w:vMerge w:val="restart"/>
          </w:tcPr>
          <w:p w:rsidR="00911A0C" w:rsidRDefault="00911A0C" w:rsidP="00EA6A56">
            <w:pPr>
              <w:jc w:val="center"/>
              <w:rPr>
                <w:rFonts w:ascii="Arial" w:hAnsi="Arial" w:cs="Arial"/>
                <w:b/>
                <w:sz w:val="28"/>
                <w:szCs w:val="28"/>
              </w:rPr>
            </w:pPr>
            <w:r w:rsidRPr="009951BD">
              <w:rPr>
                <w:rFonts w:ascii="Arial" w:hAnsi="Arial" w:cs="Arial"/>
                <w:b/>
                <w:sz w:val="28"/>
                <w:szCs w:val="28"/>
              </w:rPr>
              <w:lastRenderedPageBreak/>
              <w:t>Year 2</w:t>
            </w:r>
          </w:p>
          <w:p w:rsidR="00911A0C" w:rsidRDefault="00911A0C" w:rsidP="00EA6A56">
            <w:pPr>
              <w:jc w:val="center"/>
              <w:rPr>
                <w:rFonts w:ascii="Arial" w:hAnsi="Arial" w:cs="Arial"/>
                <w:b/>
                <w:sz w:val="28"/>
                <w:szCs w:val="28"/>
              </w:rPr>
            </w:pPr>
          </w:p>
          <w:p w:rsidR="00911A0C" w:rsidRDefault="00911A0C" w:rsidP="00EA6A56">
            <w:pPr>
              <w:jc w:val="center"/>
              <w:rPr>
                <w:rFonts w:ascii="Arial" w:hAnsi="Arial" w:cs="Arial"/>
                <w:b/>
                <w:sz w:val="28"/>
                <w:szCs w:val="28"/>
              </w:rPr>
            </w:pPr>
          </w:p>
          <w:p w:rsidR="00911A0C" w:rsidRPr="009951BD" w:rsidRDefault="00911A0C" w:rsidP="00EA6A56">
            <w:pPr>
              <w:rPr>
                <w:rFonts w:ascii="Arial" w:hAnsi="Arial" w:cs="Arial"/>
                <w:sz w:val="20"/>
                <w:szCs w:val="20"/>
              </w:rPr>
            </w:pPr>
            <w:r w:rsidRPr="009951BD">
              <w:rPr>
                <w:rFonts w:ascii="Arial" w:hAnsi="Arial" w:cs="Arial"/>
                <w:noProof/>
                <w:sz w:val="20"/>
                <w:szCs w:val="20"/>
              </w:rPr>
              <w:drawing>
                <wp:inline distT="0" distB="0" distL="0" distR="0" wp14:anchorId="41F9FA2A" wp14:editId="2DFEEE42">
                  <wp:extent cx="876300" cy="351173"/>
                  <wp:effectExtent l="0" t="266700" r="0" b="239377"/>
                  <wp:docPr id="29" name="Picture 9" descr="C:\Users\UserSELU\Downloads\qep_logo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SELU\Downloads\qep_logo_sheet.jpg"/>
                          <pic:cNvPicPr>
                            <a:picLocks noChangeAspect="1" noChangeArrowheads="1"/>
                          </pic:cNvPicPr>
                        </pic:nvPicPr>
                        <pic:blipFill>
                          <a:blip r:embed="rId13" cstate="print"/>
                          <a:srcRect/>
                          <a:stretch>
                            <a:fillRect/>
                          </a:stretch>
                        </pic:blipFill>
                        <pic:spPr bwMode="auto">
                          <a:xfrm rot="5400000">
                            <a:off x="0" y="0"/>
                            <a:ext cx="876300" cy="351173"/>
                          </a:xfrm>
                          <a:prstGeom prst="rect">
                            <a:avLst/>
                          </a:prstGeom>
                          <a:noFill/>
                          <a:ln w="9525">
                            <a:noFill/>
                            <a:miter lim="800000"/>
                            <a:headEnd/>
                            <a:tailEnd/>
                          </a:ln>
                        </pic:spPr>
                      </pic:pic>
                    </a:graphicData>
                  </a:graphic>
                </wp:inline>
              </w:drawing>
            </w: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Fall 2016</w:t>
            </w:r>
          </w:p>
        </w:tc>
        <w:tc>
          <w:tcPr>
            <w:tcW w:w="8190" w:type="dxa"/>
            <w:gridSpan w:val="2"/>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Begin delivery of second round of QEP-designated course sections.</w:t>
            </w:r>
          </w:p>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Faculty teaching QEP-designated course sections report assessment results to QEP Coordinator in aggregate form. Faculty also submit an action plan which includes analysis of results and plans for future improvements.</w:t>
            </w:r>
          </w:p>
          <w:p w:rsidR="00911A0C" w:rsidRPr="000F4283" w:rsidRDefault="00911A0C" w:rsidP="00EA6A56">
            <w:pPr>
              <w:pStyle w:val="ListParagraph"/>
              <w:ind w:left="360"/>
              <w:rPr>
                <w:rFonts w:ascii="Arial" w:hAnsi="Arial" w:cs="Arial"/>
                <w:sz w:val="20"/>
                <w:szCs w:val="20"/>
              </w:rPr>
            </w:pPr>
          </w:p>
        </w:tc>
      </w:tr>
      <w:tr w:rsidR="00911A0C" w:rsidRPr="00A94264" w:rsidTr="00EA6A56">
        <w:trPr>
          <w:gridBefore w:val="1"/>
          <w:wBefore w:w="18" w:type="dxa"/>
          <w:cantSplit/>
          <w:trHeight w:val="935"/>
        </w:trPr>
        <w:tc>
          <w:tcPr>
            <w:tcW w:w="1080" w:type="dxa"/>
            <w:vMerge/>
          </w:tcPr>
          <w:p w:rsidR="00911A0C" w:rsidRPr="009951BD" w:rsidRDefault="00911A0C" w:rsidP="00EA6A56">
            <w:pPr>
              <w:jc w:val="center"/>
              <w:rPr>
                <w:rFonts w:ascii="Arial" w:hAnsi="Arial" w:cs="Arial"/>
                <w:b/>
                <w:sz w:val="28"/>
                <w:szCs w:val="28"/>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Spring 2017</w:t>
            </w:r>
          </w:p>
        </w:tc>
        <w:tc>
          <w:tcPr>
            <w:tcW w:w="8190" w:type="dxa"/>
            <w:gridSpan w:val="2"/>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Faculty teaching QEP-designated course sections report assessment results to QEP Coordinator in aggregate form. Faculty also submit an action plan which includes analysis of results and plans for future improvements.</w:t>
            </w:r>
          </w:p>
        </w:tc>
      </w:tr>
      <w:tr w:rsidR="00911A0C" w:rsidRPr="00A94264" w:rsidTr="00EA6A56">
        <w:trPr>
          <w:gridBefore w:val="1"/>
          <w:wBefore w:w="18" w:type="dxa"/>
          <w:cantSplit/>
          <w:trHeight w:val="917"/>
        </w:trPr>
        <w:tc>
          <w:tcPr>
            <w:tcW w:w="1080" w:type="dxa"/>
            <w:vMerge/>
          </w:tcPr>
          <w:p w:rsidR="00911A0C" w:rsidRPr="00A94264" w:rsidRDefault="00911A0C" w:rsidP="00EA6A56">
            <w:pPr>
              <w:jc w:val="center"/>
              <w:rPr>
                <w:rFonts w:ascii="Arial" w:hAnsi="Arial" w:cs="Arial"/>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 xml:space="preserve">Summer </w:t>
            </w:r>
            <w:r>
              <w:rPr>
                <w:rFonts w:ascii="Arial" w:hAnsi="Arial" w:cs="Arial"/>
                <w:sz w:val="18"/>
                <w:szCs w:val="18"/>
              </w:rPr>
              <w:t>2</w:t>
            </w:r>
            <w:r w:rsidRPr="00996FD2">
              <w:rPr>
                <w:rFonts w:ascii="Arial" w:hAnsi="Arial" w:cs="Arial"/>
                <w:sz w:val="18"/>
                <w:szCs w:val="18"/>
              </w:rPr>
              <w:t>017</w:t>
            </w:r>
          </w:p>
        </w:tc>
        <w:tc>
          <w:tcPr>
            <w:tcW w:w="8190" w:type="dxa"/>
            <w:gridSpan w:val="2"/>
          </w:tcPr>
          <w:p w:rsidR="00911A0C" w:rsidRPr="00A57118" w:rsidRDefault="00911A0C" w:rsidP="00911A0C">
            <w:pPr>
              <w:pStyle w:val="ListParagraph"/>
              <w:numPr>
                <w:ilvl w:val="0"/>
                <w:numId w:val="7"/>
              </w:numPr>
              <w:ind w:left="360"/>
              <w:rPr>
                <w:rFonts w:ascii="Arial" w:hAnsi="Arial" w:cs="Arial"/>
                <w:sz w:val="20"/>
                <w:szCs w:val="20"/>
              </w:rPr>
            </w:pPr>
            <w:r w:rsidRPr="00511B3F">
              <w:rPr>
                <w:rFonts w:ascii="Arial" w:hAnsi="Arial" w:cs="Arial"/>
                <w:sz w:val="20"/>
                <w:szCs w:val="20"/>
              </w:rPr>
              <w:t>The QEP Coordinator compiles the data, writes and distributes report. Campus conversations determine needed modifications to implementation plans for Year 3.</w:t>
            </w:r>
          </w:p>
        </w:tc>
      </w:tr>
      <w:tr w:rsidR="00911A0C" w:rsidRPr="00A94264" w:rsidTr="00EA6A56">
        <w:trPr>
          <w:gridBefore w:val="1"/>
          <w:wBefore w:w="18" w:type="dxa"/>
          <w:cantSplit/>
          <w:trHeight w:val="890"/>
        </w:trPr>
        <w:tc>
          <w:tcPr>
            <w:tcW w:w="1080" w:type="dxa"/>
            <w:vMerge w:val="restart"/>
            <w:shd w:val="clear" w:color="auto" w:fill="auto"/>
          </w:tcPr>
          <w:p w:rsidR="00911A0C" w:rsidRDefault="00911A0C" w:rsidP="00EA6A56">
            <w:pPr>
              <w:jc w:val="center"/>
              <w:rPr>
                <w:rFonts w:ascii="Arial" w:hAnsi="Arial" w:cs="Arial"/>
                <w:b/>
                <w:sz w:val="28"/>
                <w:szCs w:val="28"/>
              </w:rPr>
            </w:pPr>
            <w:r w:rsidRPr="009508DF">
              <w:rPr>
                <w:rFonts w:ascii="Arial" w:hAnsi="Arial" w:cs="Arial"/>
                <w:b/>
                <w:sz w:val="28"/>
                <w:szCs w:val="28"/>
              </w:rPr>
              <w:t>Year 3</w:t>
            </w:r>
          </w:p>
          <w:p w:rsidR="00911A0C" w:rsidRPr="009508DF" w:rsidRDefault="00911A0C" w:rsidP="00EA6A56">
            <w:pPr>
              <w:jc w:val="center"/>
              <w:rPr>
                <w:rFonts w:ascii="Arial" w:hAnsi="Arial" w:cs="Arial"/>
                <w:b/>
                <w:sz w:val="28"/>
                <w:szCs w:val="28"/>
              </w:rPr>
            </w:pPr>
          </w:p>
          <w:p w:rsidR="00911A0C" w:rsidRPr="009508DF" w:rsidRDefault="00911A0C" w:rsidP="00EA6A56">
            <w:pPr>
              <w:jc w:val="center"/>
              <w:rPr>
                <w:rFonts w:ascii="Arial" w:hAnsi="Arial" w:cs="Arial"/>
                <w:b/>
                <w:sz w:val="20"/>
                <w:szCs w:val="20"/>
              </w:rPr>
            </w:pPr>
          </w:p>
          <w:p w:rsidR="00911A0C" w:rsidRPr="009508DF" w:rsidRDefault="00911A0C" w:rsidP="00EA6A56">
            <w:pPr>
              <w:rPr>
                <w:rFonts w:ascii="Arial" w:hAnsi="Arial" w:cs="Arial"/>
                <w:b/>
                <w:sz w:val="20"/>
                <w:szCs w:val="20"/>
              </w:rPr>
            </w:pPr>
            <w:r w:rsidRPr="009508DF">
              <w:rPr>
                <w:rFonts w:ascii="Arial" w:hAnsi="Arial" w:cs="Arial"/>
                <w:b/>
                <w:noProof/>
                <w:sz w:val="20"/>
                <w:szCs w:val="20"/>
              </w:rPr>
              <w:drawing>
                <wp:inline distT="0" distB="0" distL="0" distR="0" wp14:anchorId="28071B04" wp14:editId="33A43568">
                  <wp:extent cx="876300" cy="318844"/>
                  <wp:effectExtent l="0" t="285750" r="0" b="252656"/>
                  <wp:docPr id="30" name="Picture 9" descr="C:\Users\UserSELU\Downloads\qep_logo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SELU\Downloads\qep_logo_sheet.jpg"/>
                          <pic:cNvPicPr>
                            <a:picLocks noChangeAspect="1" noChangeArrowheads="1"/>
                          </pic:cNvPicPr>
                        </pic:nvPicPr>
                        <pic:blipFill>
                          <a:blip r:embed="rId13" cstate="print"/>
                          <a:srcRect/>
                          <a:stretch>
                            <a:fillRect/>
                          </a:stretch>
                        </pic:blipFill>
                        <pic:spPr bwMode="auto">
                          <a:xfrm rot="5400000">
                            <a:off x="0" y="0"/>
                            <a:ext cx="880652" cy="320427"/>
                          </a:xfrm>
                          <a:prstGeom prst="rect">
                            <a:avLst/>
                          </a:prstGeom>
                          <a:noFill/>
                          <a:ln w="9525">
                            <a:noFill/>
                            <a:miter lim="800000"/>
                            <a:headEnd/>
                            <a:tailEnd/>
                          </a:ln>
                        </pic:spPr>
                      </pic:pic>
                    </a:graphicData>
                  </a:graphic>
                </wp:inline>
              </w:drawing>
            </w:r>
          </w:p>
          <w:p w:rsidR="00911A0C" w:rsidRPr="009508DF" w:rsidRDefault="00911A0C" w:rsidP="00EA6A56">
            <w:pPr>
              <w:jc w:val="center"/>
              <w:rPr>
                <w:rFonts w:ascii="Arial" w:hAnsi="Arial" w:cs="Arial"/>
                <w:b/>
                <w:sz w:val="20"/>
                <w:szCs w:val="20"/>
              </w:rPr>
            </w:pPr>
          </w:p>
          <w:p w:rsidR="00911A0C" w:rsidRPr="009508DF" w:rsidRDefault="00911A0C" w:rsidP="00EA6A56">
            <w:pPr>
              <w:jc w:val="center"/>
              <w:rPr>
                <w:rFonts w:ascii="Arial" w:hAnsi="Arial" w:cs="Arial"/>
                <w:b/>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Fall 2017</w:t>
            </w:r>
          </w:p>
          <w:p w:rsidR="00911A0C" w:rsidRPr="00996FD2" w:rsidRDefault="00911A0C" w:rsidP="00EA6A56">
            <w:pPr>
              <w:ind w:left="113" w:right="113"/>
              <w:jc w:val="center"/>
              <w:rPr>
                <w:rFonts w:ascii="Arial" w:hAnsi="Arial" w:cs="Arial"/>
                <w:sz w:val="18"/>
                <w:szCs w:val="18"/>
              </w:rPr>
            </w:pPr>
          </w:p>
        </w:tc>
        <w:tc>
          <w:tcPr>
            <w:tcW w:w="8190" w:type="dxa"/>
            <w:gridSpan w:val="2"/>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Begin delivery of third round of QEP-designated course sections.</w:t>
            </w:r>
          </w:p>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Faculty teaching QEP-designated course sections report assessment results to QEP Coordinator in aggregate form. Faculty also submit an action plan which includes analysis of results and plans for future improvements.</w:t>
            </w:r>
          </w:p>
          <w:p w:rsidR="00911A0C" w:rsidRPr="000F4283" w:rsidRDefault="00911A0C" w:rsidP="00EA6A56">
            <w:pPr>
              <w:pStyle w:val="ListParagraph"/>
              <w:ind w:left="360"/>
              <w:rPr>
                <w:rFonts w:ascii="Arial" w:hAnsi="Arial" w:cs="Arial"/>
                <w:sz w:val="20"/>
                <w:szCs w:val="20"/>
              </w:rPr>
            </w:pPr>
          </w:p>
        </w:tc>
      </w:tr>
      <w:tr w:rsidR="00911A0C" w:rsidRPr="00A94264" w:rsidTr="00EA6A56">
        <w:trPr>
          <w:gridBefore w:val="1"/>
          <w:wBefore w:w="18" w:type="dxa"/>
          <w:cantSplit/>
          <w:trHeight w:val="1134"/>
        </w:trPr>
        <w:tc>
          <w:tcPr>
            <w:tcW w:w="1080" w:type="dxa"/>
            <w:vMerge/>
            <w:shd w:val="clear" w:color="auto" w:fill="auto"/>
          </w:tcPr>
          <w:p w:rsidR="00911A0C" w:rsidRPr="009508DF" w:rsidRDefault="00911A0C" w:rsidP="00EA6A56">
            <w:pPr>
              <w:jc w:val="center"/>
              <w:rPr>
                <w:rFonts w:ascii="Arial" w:hAnsi="Arial" w:cs="Arial"/>
                <w:b/>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Spring 2018</w:t>
            </w:r>
          </w:p>
          <w:p w:rsidR="00911A0C" w:rsidRPr="00996FD2" w:rsidRDefault="00911A0C" w:rsidP="00EA6A56">
            <w:pPr>
              <w:ind w:left="113" w:right="113"/>
              <w:jc w:val="center"/>
              <w:rPr>
                <w:rFonts w:ascii="Arial" w:hAnsi="Arial" w:cs="Arial"/>
                <w:sz w:val="18"/>
                <w:szCs w:val="18"/>
              </w:rPr>
            </w:pPr>
          </w:p>
        </w:tc>
        <w:tc>
          <w:tcPr>
            <w:tcW w:w="8190" w:type="dxa"/>
            <w:gridSpan w:val="2"/>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The Office of Institutional Research administers the National Survey for Student Engagement.  Results are compared with baseline data.</w:t>
            </w:r>
          </w:p>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Faculty teaching QEP-designated course sections report assessment results to QEP Coordinator in aggregate form. Faculty also submit an action plan which includes analysis of results and plans for future improvements.</w:t>
            </w:r>
          </w:p>
          <w:p w:rsidR="00911A0C" w:rsidRPr="00670900" w:rsidRDefault="00911A0C" w:rsidP="00EA6A56">
            <w:pPr>
              <w:pStyle w:val="ListParagraph"/>
              <w:ind w:left="360"/>
              <w:rPr>
                <w:rFonts w:ascii="Arial" w:hAnsi="Arial" w:cs="Arial"/>
                <w:sz w:val="20"/>
                <w:szCs w:val="20"/>
              </w:rPr>
            </w:pPr>
          </w:p>
        </w:tc>
      </w:tr>
      <w:tr w:rsidR="00911A0C" w:rsidRPr="00A94264" w:rsidTr="00EA6A56">
        <w:trPr>
          <w:gridBefore w:val="1"/>
          <w:wBefore w:w="18" w:type="dxa"/>
          <w:cantSplit/>
          <w:trHeight w:val="1007"/>
        </w:trPr>
        <w:tc>
          <w:tcPr>
            <w:tcW w:w="1080" w:type="dxa"/>
            <w:vMerge/>
            <w:shd w:val="clear" w:color="auto" w:fill="auto"/>
          </w:tcPr>
          <w:p w:rsidR="00911A0C" w:rsidRPr="009508DF" w:rsidRDefault="00911A0C" w:rsidP="00EA6A56">
            <w:pPr>
              <w:jc w:val="center"/>
              <w:rPr>
                <w:rFonts w:ascii="Arial" w:hAnsi="Arial" w:cs="Arial"/>
                <w:b/>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Summer</w:t>
            </w:r>
          </w:p>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2018</w:t>
            </w:r>
          </w:p>
        </w:tc>
        <w:tc>
          <w:tcPr>
            <w:tcW w:w="8190" w:type="dxa"/>
            <w:gridSpan w:val="2"/>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The QEP Coordinator compiles the data, writes and distributes report. Campus conversations determine needed modifications to implementation plans for Year 4.</w:t>
            </w:r>
          </w:p>
          <w:p w:rsidR="00911A0C" w:rsidRDefault="00911A0C" w:rsidP="00911A0C">
            <w:pPr>
              <w:pStyle w:val="ListParagraph"/>
              <w:numPr>
                <w:ilvl w:val="0"/>
                <w:numId w:val="7"/>
              </w:numPr>
              <w:ind w:left="360"/>
              <w:rPr>
                <w:rFonts w:ascii="Arial" w:hAnsi="Arial" w:cs="Arial"/>
                <w:sz w:val="20"/>
                <w:szCs w:val="20"/>
              </w:rPr>
            </w:pPr>
            <w:r w:rsidRPr="00B46F7D">
              <w:rPr>
                <w:rFonts w:ascii="Arial" w:hAnsi="Arial" w:cs="Arial"/>
                <w:color w:val="222222"/>
                <w:sz w:val="20"/>
                <w:szCs w:val="20"/>
                <w:shd w:val="clear" w:color="auto" w:fill="FFFFFF"/>
              </w:rPr>
              <w:t>WeaveONLINE®</w:t>
            </w:r>
            <w:r>
              <w:rPr>
                <w:rFonts w:ascii="Arial" w:hAnsi="Arial" w:cs="Arial"/>
                <w:color w:val="222222"/>
                <w:shd w:val="clear" w:color="auto" w:fill="FFFFFF"/>
              </w:rPr>
              <w:t xml:space="preserve"> </w:t>
            </w:r>
            <w:r>
              <w:rPr>
                <w:rFonts w:ascii="Arial" w:hAnsi="Arial" w:cs="Arial"/>
                <w:sz w:val="20"/>
                <w:szCs w:val="20"/>
              </w:rPr>
              <w:t>audit of degree SLOs that align with QEP SLOs is repeated and compared with baseline.</w:t>
            </w:r>
          </w:p>
          <w:p w:rsidR="00911A0C" w:rsidRPr="00A94264" w:rsidRDefault="00911A0C" w:rsidP="00EA6A56">
            <w:pPr>
              <w:pStyle w:val="ListParagraph"/>
              <w:ind w:left="360"/>
              <w:rPr>
                <w:rFonts w:ascii="Arial" w:hAnsi="Arial" w:cs="Arial"/>
                <w:sz w:val="20"/>
                <w:szCs w:val="20"/>
              </w:rPr>
            </w:pPr>
          </w:p>
        </w:tc>
      </w:tr>
      <w:tr w:rsidR="00911A0C" w:rsidRPr="00A94264" w:rsidTr="00EA6A56">
        <w:trPr>
          <w:gridBefore w:val="1"/>
          <w:wBefore w:w="18" w:type="dxa"/>
          <w:cantSplit/>
          <w:trHeight w:val="890"/>
        </w:trPr>
        <w:tc>
          <w:tcPr>
            <w:tcW w:w="1080" w:type="dxa"/>
            <w:vMerge w:val="restart"/>
          </w:tcPr>
          <w:p w:rsidR="00911A0C" w:rsidRPr="009508DF" w:rsidRDefault="00911A0C" w:rsidP="00EA6A56">
            <w:pPr>
              <w:jc w:val="center"/>
              <w:rPr>
                <w:rFonts w:ascii="Arial" w:hAnsi="Arial" w:cs="Arial"/>
                <w:b/>
                <w:sz w:val="28"/>
                <w:szCs w:val="28"/>
              </w:rPr>
            </w:pPr>
            <w:r w:rsidRPr="009508DF">
              <w:rPr>
                <w:rFonts w:ascii="Arial" w:hAnsi="Arial" w:cs="Arial"/>
                <w:b/>
                <w:sz w:val="28"/>
                <w:szCs w:val="28"/>
              </w:rPr>
              <w:t>Year 4</w:t>
            </w:r>
          </w:p>
          <w:p w:rsidR="00911A0C" w:rsidRPr="009508DF" w:rsidRDefault="00911A0C" w:rsidP="00EA6A56">
            <w:pPr>
              <w:jc w:val="center"/>
              <w:rPr>
                <w:rFonts w:ascii="Arial" w:hAnsi="Arial" w:cs="Arial"/>
                <w:b/>
                <w:sz w:val="20"/>
                <w:szCs w:val="20"/>
              </w:rPr>
            </w:pPr>
          </w:p>
          <w:p w:rsidR="00911A0C" w:rsidRPr="009508DF" w:rsidRDefault="00911A0C" w:rsidP="00EA6A56">
            <w:pPr>
              <w:jc w:val="center"/>
              <w:rPr>
                <w:rFonts w:ascii="Arial" w:hAnsi="Arial" w:cs="Arial"/>
                <w:b/>
                <w:sz w:val="20"/>
                <w:szCs w:val="20"/>
              </w:rPr>
            </w:pPr>
          </w:p>
          <w:p w:rsidR="00911A0C" w:rsidRPr="009508DF" w:rsidRDefault="00911A0C" w:rsidP="00EA6A56">
            <w:pPr>
              <w:rPr>
                <w:rFonts w:ascii="Arial" w:hAnsi="Arial" w:cs="Arial"/>
                <w:b/>
                <w:sz w:val="20"/>
                <w:szCs w:val="20"/>
              </w:rPr>
            </w:pPr>
            <w:r w:rsidRPr="009508DF">
              <w:rPr>
                <w:rFonts w:ascii="Arial" w:hAnsi="Arial" w:cs="Arial"/>
                <w:b/>
                <w:noProof/>
                <w:sz w:val="20"/>
                <w:szCs w:val="20"/>
              </w:rPr>
              <w:drawing>
                <wp:inline distT="0" distB="0" distL="0" distR="0" wp14:anchorId="3DA19F2A" wp14:editId="7C63D390">
                  <wp:extent cx="876300" cy="354685"/>
                  <wp:effectExtent l="0" t="266700" r="0" b="235865"/>
                  <wp:docPr id="32" name="Picture 9" descr="C:\Users\UserSELU\Downloads\qep_logo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SELU\Downloads\qep_logo_sheet.jpg"/>
                          <pic:cNvPicPr>
                            <a:picLocks noChangeAspect="1" noChangeArrowheads="1"/>
                          </pic:cNvPicPr>
                        </pic:nvPicPr>
                        <pic:blipFill>
                          <a:blip r:embed="rId13" cstate="print"/>
                          <a:srcRect/>
                          <a:stretch>
                            <a:fillRect/>
                          </a:stretch>
                        </pic:blipFill>
                        <pic:spPr bwMode="auto">
                          <a:xfrm rot="5400000">
                            <a:off x="0" y="0"/>
                            <a:ext cx="876300" cy="354685"/>
                          </a:xfrm>
                          <a:prstGeom prst="rect">
                            <a:avLst/>
                          </a:prstGeom>
                          <a:noFill/>
                          <a:ln w="9525">
                            <a:noFill/>
                            <a:miter lim="800000"/>
                            <a:headEnd/>
                            <a:tailEnd/>
                          </a:ln>
                        </pic:spPr>
                      </pic:pic>
                    </a:graphicData>
                  </a:graphic>
                </wp:inline>
              </w:drawing>
            </w: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Fall 2018</w:t>
            </w:r>
          </w:p>
          <w:p w:rsidR="00911A0C" w:rsidRPr="00996FD2" w:rsidRDefault="00911A0C" w:rsidP="00EA6A56">
            <w:pPr>
              <w:ind w:left="113" w:right="113"/>
              <w:jc w:val="center"/>
              <w:rPr>
                <w:rFonts w:ascii="Arial" w:hAnsi="Arial" w:cs="Arial"/>
                <w:sz w:val="18"/>
                <w:szCs w:val="18"/>
              </w:rPr>
            </w:pPr>
          </w:p>
        </w:tc>
        <w:tc>
          <w:tcPr>
            <w:tcW w:w="8190" w:type="dxa"/>
            <w:gridSpan w:val="2"/>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Begin delivery of fourth round of QEP-designated course sections.</w:t>
            </w:r>
          </w:p>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Faculty teaching QEP-designated course sections report assessment results to QEP Coordinator in aggregate form. Faculty also submit an action plan which includes analysis of results and plans for future improvements.</w:t>
            </w:r>
          </w:p>
          <w:p w:rsidR="00911A0C" w:rsidRPr="000F4283" w:rsidRDefault="00911A0C" w:rsidP="00EA6A56">
            <w:pPr>
              <w:pStyle w:val="ListParagraph"/>
              <w:ind w:left="360"/>
              <w:rPr>
                <w:rFonts w:ascii="Arial" w:hAnsi="Arial" w:cs="Arial"/>
                <w:sz w:val="20"/>
                <w:szCs w:val="20"/>
              </w:rPr>
            </w:pPr>
          </w:p>
        </w:tc>
      </w:tr>
      <w:tr w:rsidR="00911A0C" w:rsidRPr="00A94264" w:rsidTr="00EA6A56">
        <w:trPr>
          <w:gridBefore w:val="1"/>
          <w:wBefore w:w="18" w:type="dxa"/>
          <w:cantSplit/>
          <w:trHeight w:val="1134"/>
        </w:trPr>
        <w:tc>
          <w:tcPr>
            <w:tcW w:w="1080" w:type="dxa"/>
            <w:vMerge/>
          </w:tcPr>
          <w:p w:rsidR="00911A0C" w:rsidRPr="009508DF" w:rsidRDefault="00911A0C" w:rsidP="00EA6A56">
            <w:pPr>
              <w:jc w:val="center"/>
              <w:rPr>
                <w:rFonts w:ascii="Arial" w:hAnsi="Arial" w:cs="Arial"/>
                <w:b/>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 xml:space="preserve">Spring </w:t>
            </w:r>
            <w:r w:rsidRPr="00F86F3A">
              <w:rPr>
                <w:rFonts w:ascii="Arial" w:hAnsi="Arial" w:cs="Arial"/>
                <w:sz w:val="18"/>
                <w:szCs w:val="18"/>
              </w:rPr>
              <w:t>2019</w:t>
            </w:r>
          </w:p>
        </w:tc>
        <w:tc>
          <w:tcPr>
            <w:tcW w:w="8190" w:type="dxa"/>
            <w:gridSpan w:val="2"/>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The Office of Institutional Research administers Southeastern’s Employer Survey.  Results are compared with baseline data.</w:t>
            </w:r>
          </w:p>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Faculty teaching QEP-designated course sections report assessment results to QEP Coordinator in aggregate form. Faculty also submit an action plan which includes analysis of results and plans for future improvements.</w:t>
            </w:r>
          </w:p>
          <w:p w:rsidR="00911A0C" w:rsidRPr="00A94264" w:rsidRDefault="00911A0C" w:rsidP="00EA6A56">
            <w:pPr>
              <w:pStyle w:val="ListParagraph"/>
              <w:ind w:left="360"/>
              <w:rPr>
                <w:rFonts w:ascii="Arial" w:hAnsi="Arial" w:cs="Arial"/>
                <w:sz w:val="20"/>
                <w:szCs w:val="20"/>
              </w:rPr>
            </w:pPr>
          </w:p>
        </w:tc>
      </w:tr>
      <w:tr w:rsidR="00911A0C" w:rsidRPr="00A94264" w:rsidTr="00EA6A56">
        <w:trPr>
          <w:gridBefore w:val="1"/>
          <w:wBefore w:w="18" w:type="dxa"/>
          <w:cantSplit/>
          <w:trHeight w:val="980"/>
        </w:trPr>
        <w:tc>
          <w:tcPr>
            <w:tcW w:w="1080" w:type="dxa"/>
            <w:vMerge/>
          </w:tcPr>
          <w:p w:rsidR="00911A0C" w:rsidRPr="009508DF" w:rsidRDefault="00911A0C" w:rsidP="00EA6A56">
            <w:pPr>
              <w:jc w:val="center"/>
              <w:rPr>
                <w:rFonts w:ascii="Arial" w:hAnsi="Arial" w:cs="Arial"/>
                <w:b/>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Summer</w:t>
            </w:r>
          </w:p>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2019</w:t>
            </w:r>
          </w:p>
        </w:tc>
        <w:tc>
          <w:tcPr>
            <w:tcW w:w="8190" w:type="dxa"/>
            <w:gridSpan w:val="2"/>
          </w:tcPr>
          <w:p w:rsidR="00911A0C" w:rsidRPr="00A57118" w:rsidRDefault="00911A0C" w:rsidP="00911A0C">
            <w:pPr>
              <w:pStyle w:val="ListParagraph"/>
              <w:numPr>
                <w:ilvl w:val="0"/>
                <w:numId w:val="7"/>
              </w:numPr>
              <w:ind w:left="360"/>
              <w:rPr>
                <w:rFonts w:ascii="Arial" w:hAnsi="Arial" w:cs="Arial"/>
                <w:sz w:val="20"/>
                <w:szCs w:val="20"/>
              </w:rPr>
            </w:pPr>
            <w:r w:rsidRPr="00A57118">
              <w:rPr>
                <w:rFonts w:ascii="Arial" w:hAnsi="Arial" w:cs="Arial"/>
                <w:sz w:val="20"/>
                <w:szCs w:val="20"/>
              </w:rPr>
              <w:t>The QEP Coordinator compiles the data, writes and distributes report. Campus conversations determine needed modifications to implementation plans</w:t>
            </w:r>
            <w:r>
              <w:rPr>
                <w:rFonts w:ascii="Arial" w:hAnsi="Arial" w:cs="Arial"/>
                <w:sz w:val="20"/>
                <w:szCs w:val="20"/>
              </w:rPr>
              <w:t xml:space="preserve"> for Year 5</w:t>
            </w:r>
            <w:r w:rsidRPr="00A57118">
              <w:rPr>
                <w:rFonts w:ascii="Arial" w:hAnsi="Arial" w:cs="Arial"/>
                <w:sz w:val="20"/>
                <w:szCs w:val="20"/>
              </w:rPr>
              <w:t>.</w:t>
            </w:r>
          </w:p>
        </w:tc>
      </w:tr>
      <w:tr w:rsidR="00911A0C" w:rsidRPr="00A94264" w:rsidTr="00EA6A56">
        <w:trPr>
          <w:gridBefore w:val="1"/>
          <w:wBefore w:w="18" w:type="dxa"/>
          <w:cantSplit/>
          <w:trHeight w:val="890"/>
        </w:trPr>
        <w:tc>
          <w:tcPr>
            <w:tcW w:w="1080" w:type="dxa"/>
            <w:vMerge w:val="restart"/>
          </w:tcPr>
          <w:p w:rsidR="00911A0C" w:rsidRPr="009508DF" w:rsidRDefault="00911A0C" w:rsidP="00EA6A56">
            <w:pPr>
              <w:jc w:val="center"/>
              <w:rPr>
                <w:rFonts w:ascii="Arial" w:hAnsi="Arial" w:cs="Arial"/>
                <w:b/>
                <w:sz w:val="28"/>
                <w:szCs w:val="28"/>
              </w:rPr>
            </w:pPr>
            <w:r w:rsidRPr="009508DF">
              <w:rPr>
                <w:rFonts w:ascii="Arial" w:hAnsi="Arial" w:cs="Arial"/>
                <w:b/>
                <w:sz w:val="28"/>
                <w:szCs w:val="28"/>
              </w:rPr>
              <w:t>Year 5</w:t>
            </w:r>
          </w:p>
          <w:p w:rsidR="00911A0C" w:rsidRPr="009508DF" w:rsidRDefault="00911A0C" w:rsidP="00EA6A56">
            <w:pPr>
              <w:jc w:val="center"/>
              <w:rPr>
                <w:rFonts w:ascii="Arial" w:hAnsi="Arial" w:cs="Arial"/>
                <w:b/>
                <w:sz w:val="20"/>
                <w:szCs w:val="20"/>
              </w:rPr>
            </w:pPr>
          </w:p>
          <w:p w:rsidR="00911A0C" w:rsidRPr="009508DF" w:rsidRDefault="00911A0C" w:rsidP="00EA6A56">
            <w:pPr>
              <w:rPr>
                <w:rFonts w:ascii="Arial" w:hAnsi="Arial" w:cs="Arial"/>
                <w:b/>
                <w:sz w:val="20"/>
                <w:szCs w:val="20"/>
              </w:rPr>
            </w:pPr>
            <w:r w:rsidRPr="009508DF">
              <w:rPr>
                <w:rFonts w:ascii="Arial" w:hAnsi="Arial" w:cs="Arial"/>
                <w:b/>
                <w:noProof/>
                <w:sz w:val="20"/>
                <w:szCs w:val="20"/>
              </w:rPr>
              <w:lastRenderedPageBreak/>
              <w:drawing>
                <wp:inline distT="0" distB="0" distL="0" distR="0" wp14:anchorId="1CB83C31" wp14:editId="62E9E776">
                  <wp:extent cx="876300" cy="359447"/>
                  <wp:effectExtent l="0" t="266700" r="0" b="231103"/>
                  <wp:docPr id="35" name="Picture 9" descr="C:\Users\UserSELU\Downloads\qep_logo_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SELU\Downloads\qep_logo_sheet.jpg"/>
                          <pic:cNvPicPr>
                            <a:picLocks noChangeAspect="1" noChangeArrowheads="1"/>
                          </pic:cNvPicPr>
                        </pic:nvPicPr>
                        <pic:blipFill>
                          <a:blip r:embed="rId13" cstate="print"/>
                          <a:srcRect/>
                          <a:stretch>
                            <a:fillRect/>
                          </a:stretch>
                        </pic:blipFill>
                        <pic:spPr bwMode="auto">
                          <a:xfrm rot="5400000">
                            <a:off x="0" y="0"/>
                            <a:ext cx="881809" cy="361707"/>
                          </a:xfrm>
                          <a:prstGeom prst="rect">
                            <a:avLst/>
                          </a:prstGeom>
                          <a:noFill/>
                          <a:ln w="9525">
                            <a:noFill/>
                            <a:miter lim="800000"/>
                            <a:headEnd/>
                            <a:tailEnd/>
                          </a:ln>
                        </pic:spPr>
                      </pic:pic>
                    </a:graphicData>
                  </a:graphic>
                </wp:inline>
              </w:drawing>
            </w: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lastRenderedPageBreak/>
              <w:t>Fall 2019</w:t>
            </w:r>
          </w:p>
          <w:p w:rsidR="00911A0C" w:rsidRPr="00996FD2" w:rsidRDefault="00911A0C" w:rsidP="00EA6A56">
            <w:pPr>
              <w:ind w:left="113" w:right="113"/>
              <w:jc w:val="center"/>
              <w:rPr>
                <w:rFonts w:ascii="Arial" w:hAnsi="Arial" w:cs="Arial"/>
                <w:sz w:val="18"/>
                <w:szCs w:val="18"/>
              </w:rPr>
            </w:pPr>
          </w:p>
        </w:tc>
        <w:tc>
          <w:tcPr>
            <w:tcW w:w="8190" w:type="dxa"/>
            <w:gridSpan w:val="2"/>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Begin delivery of fifth round of QEP-designated course sections.</w:t>
            </w:r>
          </w:p>
          <w:p w:rsidR="00911A0C" w:rsidRPr="000F4283"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Faculty teaching QEP-designated course sections report assessment results to QEP Coordinator in aggregate form. Faculty also submit an action plan which includes analysis of results and plans for future improvements.</w:t>
            </w:r>
          </w:p>
        </w:tc>
      </w:tr>
      <w:tr w:rsidR="00911A0C" w:rsidRPr="00A94264" w:rsidTr="00EA6A56">
        <w:trPr>
          <w:gridBefore w:val="1"/>
          <w:wBefore w:w="18" w:type="dxa"/>
          <w:cantSplit/>
          <w:trHeight w:val="1134"/>
        </w:trPr>
        <w:tc>
          <w:tcPr>
            <w:tcW w:w="1080" w:type="dxa"/>
            <w:vMerge/>
          </w:tcPr>
          <w:p w:rsidR="00911A0C" w:rsidRPr="00A94264" w:rsidRDefault="00911A0C" w:rsidP="00EA6A56">
            <w:pPr>
              <w:rPr>
                <w:rFonts w:ascii="Arial" w:hAnsi="Arial" w:cs="Arial"/>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Spring 2020</w:t>
            </w:r>
          </w:p>
          <w:p w:rsidR="00911A0C" w:rsidRPr="00996FD2" w:rsidRDefault="00911A0C" w:rsidP="00EA6A56">
            <w:pPr>
              <w:ind w:left="113" w:right="113"/>
              <w:jc w:val="center"/>
              <w:rPr>
                <w:rFonts w:ascii="Arial" w:hAnsi="Arial" w:cs="Arial"/>
                <w:sz w:val="18"/>
                <w:szCs w:val="18"/>
              </w:rPr>
            </w:pPr>
          </w:p>
        </w:tc>
        <w:tc>
          <w:tcPr>
            <w:tcW w:w="8190" w:type="dxa"/>
            <w:gridSpan w:val="2"/>
          </w:tcPr>
          <w:p w:rsidR="00911A0C"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The Office of Institutional Research administers the National Survey for Student Engagement.  Results are compared with baseline and Spring 2018 data.</w:t>
            </w:r>
          </w:p>
          <w:p w:rsidR="00911A0C" w:rsidRPr="00A57118" w:rsidRDefault="00911A0C" w:rsidP="00911A0C">
            <w:pPr>
              <w:pStyle w:val="ListParagraph"/>
              <w:numPr>
                <w:ilvl w:val="0"/>
                <w:numId w:val="7"/>
              </w:numPr>
              <w:ind w:left="360"/>
              <w:rPr>
                <w:rFonts w:ascii="Arial" w:hAnsi="Arial" w:cs="Arial"/>
                <w:sz w:val="20"/>
                <w:szCs w:val="20"/>
              </w:rPr>
            </w:pPr>
            <w:r>
              <w:rPr>
                <w:rFonts w:ascii="Arial" w:hAnsi="Arial" w:cs="Arial"/>
                <w:sz w:val="20"/>
                <w:szCs w:val="20"/>
              </w:rPr>
              <w:t>Faculty teaching QEP-designated course sections report assessment results to QEP Coordinator in aggregate form. Faculty also submit an action plan which includes analysis of results and plans for future improvements.</w:t>
            </w:r>
          </w:p>
        </w:tc>
      </w:tr>
      <w:tr w:rsidR="00911A0C" w:rsidRPr="00A94264" w:rsidTr="00EA6A56">
        <w:trPr>
          <w:gridBefore w:val="1"/>
          <w:wBefore w:w="18" w:type="dxa"/>
          <w:cantSplit/>
          <w:trHeight w:val="1070"/>
        </w:trPr>
        <w:tc>
          <w:tcPr>
            <w:tcW w:w="1080" w:type="dxa"/>
            <w:vMerge/>
          </w:tcPr>
          <w:p w:rsidR="00911A0C" w:rsidRPr="00A94264" w:rsidRDefault="00911A0C" w:rsidP="00EA6A56">
            <w:pPr>
              <w:rPr>
                <w:rFonts w:ascii="Arial" w:hAnsi="Arial" w:cs="Arial"/>
                <w:sz w:val="20"/>
                <w:szCs w:val="20"/>
              </w:rPr>
            </w:pPr>
          </w:p>
        </w:tc>
        <w:tc>
          <w:tcPr>
            <w:tcW w:w="720" w:type="dxa"/>
            <w:textDirection w:val="btLr"/>
          </w:tcPr>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Summer</w:t>
            </w:r>
          </w:p>
          <w:p w:rsidR="00911A0C" w:rsidRPr="00996FD2" w:rsidRDefault="00911A0C" w:rsidP="00EA6A56">
            <w:pPr>
              <w:ind w:left="113" w:right="113"/>
              <w:jc w:val="center"/>
              <w:rPr>
                <w:rFonts w:ascii="Arial" w:hAnsi="Arial" w:cs="Arial"/>
                <w:sz w:val="18"/>
                <w:szCs w:val="18"/>
              </w:rPr>
            </w:pPr>
            <w:r w:rsidRPr="00996FD2">
              <w:rPr>
                <w:rFonts w:ascii="Arial" w:hAnsi="Arial" w:cs="Arial"/>
                <w:sz w:val="18"/>
                <w:szCs w:val="18"/>
              </w:rPr>
              <w:t>2020</w:t>
            </w:r>
          </w:p>
        </w:tc>
        <w:tc>
          <w:tcPr>
            <w:tcW w:w="8190" w:type="dxa"/>
            <w:gridSpan w:val="2"/>
          </w:tcPr>
          <w:p w:rsidR="00911A0C" w:rsidRDefault="00911A0C" w:rsidP="00911A0C">
            <w:pPr>
              <w:pStyle w:val="ListParagraph"/>
              <w:numPr>
                <w:ilvl w:val="0"/>
                <w:numId w:val="8"/>
              </w:numPr>
              <w:ind w:left="360"/>
              <w:rPr>
                <w:rFonts w:ascii="Arial" w:hAnsi="Arial" w:cs="Arial"/>
                <w:sz w:val="20"/>
                <w:szCs w:val="20"/>
              </w:rPr>
            </w:pPr>
            <w:r w:rsidRPr="00B46F7D">
              <w:rPr>
                <w:rFonts w:ascii="Arial" w:hAnsi="Arial" w:cs="Arial"/>
                <w:color w:val="222222"/>
                <w:sz w:val="20"/>
                <w:szCs w:val="20"/>
                <w:shd w:val="clear" w:color="auto" w:fill="FFFFFF"/>
              </w:rPr>
              <w:t>WeaveONLINE®</w:t>
            </w:r>
            <w:r>
              <w:rPr>
                <w:rFonts w:ascii="Arial" w:hAnsi="Arial" w:cs="Arial"/>
                <w:color w:val="222222"/>
                <w:sz w:val="20"/>
                <w:szCs w:val="20"/>
                <w:shd w:val="clear" w:color="auto" w:fill="FFFFFF"/>
              </w:rPr>
              <w:t xml:space="preserve"> </w:t>
            </w:r>
            <w:r>
              <w:rPr>
                <w:rFonts w:ascii="Arial" w:hAnsi="Arial" w:cs="Arial"/>
                <w:sz w:val="20"/>
                <w:szCs w:val="20"/>
              </w:rPr>
              <w:t>audit of degree SLOs that align with QEP SLOs is repeated and compared with baseline and Year 3 audit.</w:t>
            </w:r>
          </w:p>
          <w:p w:rsidR="00911A0C" w:rsidRPr="00A94264" w:rsidRDefault="00911A0C" w:rsidP="00911A0C">
            <w:pPr>
              <w:pStyle w:val="ListParagraph"/>
              <w:numPr>
                <w:ilvl w:val="0"/>
                <w:numId w:val="8"/>
              </w:numPr>
              <w:ind w:left="360"/>
              <w:rPr>
                <w:rFonts w:ascii="Arial" w:hAnsi="Arial" w:cs="Arial"/>
                <w:sz w:val="20"/>
                <w:szCs w:val="20"/>
              </w:rPr>
            </w:pPr>
            <w:r>
              <w:rPr>
                <w:rFonts w:ascii="Arial" w:hAnsi="Arial" w:cs="Arial"/>
                <w:sz w:val="20"/>
                <w:szCs w:val="20"/>
              </w:rPr>
              <w:t>QEP Coordinator p</w:t>
            </w:r>
            <w:r w:rsidRPr="008B790C">
              <w:rPr>
                <w:rFonts w:ascii="Arial" w:hAnsi="Arial" w:cs="Arial"/>
                <w:sz w:val="20"/>
                <w:szCs w:val="20"/>
              </w:rPr>
              <w:t>repare</w:t>
            </w:r>
            <w:r>
              <w:rPr>
                <w:rFonts w:ascii="Arial" w:hAnsi="Arial" w:cs="Arial"/>
                <w:sz w:val="20"/>
                <w:szCs w:val="20"/>
              </w:rPr>
              <w:t>s</w:t>
            </w:r>
            <w:r w:rsidRPr="008B790C">
              <w:rPr>
                <w:rFonts w:ascii="Arial" w:hAnsi="Arial" w:cs="Arial"/>
                <w:sz w:val="20"/>
                <w:szCs w:val="20"/>
              </w:rPr>
              <w:t xml:space="preserve"> and distribute</w:t>
            </w:r>
            <w:r>
              <w:rPr>
                <w:rFonts w:ascii="Arial" w:hAnsi="Arial" w:cs="Arial"/>
                <w:sz w:val="20"/>
                <w:szCs w:val="20"/>
              </w:rPr>
              <w:t>s the</w:t>
            </w:r>
            <w:r w:rsidRPr="008B790C">
              <w:rPr>
                <w:rFonts w:ascii="Arial" w:hAnsi="Arial" w:cs="Arial"/>
                <w:sz w:val="20"/>
                <w:szCs w:val="20"/>
              </w:rPr>
              <w:t xml:space="preserve"> QEP Impact Report.</w:t>
            </w:r>
          </w:p>
        </w:tc>
      </w:tr>
    </w:tbl>
    <w:p w:rsidR="00911A0C" w:rsidRDefault="00911A0C" w:rsidP="00911A0C">
      <w:pPr>
        <w:rPr>
          <w:rFonts w:ascii="Arial" w:eastAsia="Times New Roman" w:hAnsi="Arial" w:cs="Arial"/>
          <w:color w:val="5B9BD5" w:themeColor="accent1"/>
          <w:sz w:val="18"/>
          <w:szCs w:val="18"/>
        </w:rPr>
      </w:pPr>
    </w:p>
    <w:p w:rsidR="00911A0C" w:rsidRPr="00BD5FF8" w:rsidRDefault="00911A0C" w:rsidP="00911A0C">
      <w:pPr>
        <w:rPr>
          <w:rFonts w:ascii="Arial" w:eastAsia="Times New Roman" w:hAnsi="Arial" w:cs="Arial"/>
          <w:color w:val="5B9BD5" w:themeColor="accent1"/>
          <w:sz w:val="18"/>
          <w:szCs w:val="18"/>
        </w:rPr>
      </w:pPr>
      <w:r w:rsidRPr="00BD5FF8">
        <w:rPr>
          <w:rFonts w:ascii="Arial" w:eastAsia="Times New Roman" w:hAnsi="Arial" w:cs="Arial"/>
          <w:color w:val="5B9BD5" w:themeColor="accent1"/>
          <w:sz w:val="18"/>
          <w:szCs w:val="18"/>
        </w:rPr>
        <w:t xml:space="preserve">Table </w:t>
      </w:r>
      <w:r>
        <w:rPr>
          <w:rFonts w:ascii="Arial" w:eastAsia="Times New Roman" w:hAnsi="Arial" w:cs="Arial"/>
          <w:color w:val="5B9BD5" w:themeColor="accent1"/>
          <w:sz w:val="18"/>
          <w:szCs w:val="18"/>
        </w:rPr>
        <w:t>13</w:t>
      </w:r>
      <w:r w:rsidRPr="00BD5FF8">
        <w:rPr>
          <w:rFonts w:ascii="Arial" w:eastAsia="Times New Roman" w:hAnsi="Arial" w:cs="Arial"/>
          <w:color w:val="5B9BD5" w:themeColor="accent1"/>
          <w:sz w:val="18"/>
          <w:szCs w:val="18"/>
        </w:rPr>
        <w:t xml:space="preserve">: </w:t>
      </w:r>
      <w:r>
        <w:rPr>
          <w:rFonts w:ascii="Arial" w:eastAsia="Times New Roman" w:hAnsi="Arial" w:cs="Arial"/>
          <w:color w:val="5B9BD5" w:themeColor="accent1"/>
          <w:sz w:val="18"/>
          <w:szCs w:val="18"/>
        </w:rPr>
        <w:t>Assessment Timeline</w:t>
      </w:r>
    </w:p>
    <w:p w:rsidR="00911A0C" w:rsidRDefault="00911A0C" w:rsidP="00911A0C">
      <w:pPr>
        <w:rPr>
          <w:rFonts w:ascii="Arial" w:hAnsi="Arial" w:cs="Arial"/>
          <w:b/>
          <w:bCs/>
          <w:color w:val="D4AC02"/>
        </w:rPr>
      </w:pPr>
    </w:p>
    <w:p w:rsidR="00911A0C" w:rsidRPr="007229C0" w:rsidRDefault="00911A0C" w:rsidP="00911A0C">
      <w:pPr>
        <w:rPr>
          <w:rFonts w:ascii="Arial" w:hAnsi="Arial" w:cs="Arial"/>
          <w:b/>
          <w:bCs/>
          <w:color w:val="D4AC02"/>
        </w:rPr>
      </w:pPr>
      <w:r w:rsidRPr="007229C0">
        <w:rPr>
          <w:rFonts w:ascii="Arial" w:hAnsi="Arial" w:cs="Arial"/>
          <w:b/>
          <w:bCs/>
          <w:color w:val="D4AC02"/>
        </w:rPr>
        <w:t>SUMMARY</w:t>
      </w:r>
    </w:p>
    <w:p w:rsidR="00911A0C" w:rsidRPr="00F9756E" w:rsidRDefault="00911A0C" w:rsidP="00911A0C">
      <w:pPr>
        <w:spacing w:after="200" w:line="276" w:lineRule="auto"/>
        <w:rPr>
          <w:rFonts w:ascii="Arial" w:hAnsi="Arial" w:cs="Arial"/>
          <w:sz w:val="22"/>
          <w:szCs w:val="22"/>
        </w:rPr>
      </w:pPr>
      <w:r w:rsidRPr="001A625F">
        <w:rPr>
          <w:rFonts w:ascii="Arial" w:hAnsi="Arial" w:cs="Arial"/>
          <w:sz w:val="22"/>
          <w:szCs w:val="22"/>
        </w:rPr>
        <w:t xml:space="preserve">Constructing a plan for assessing </w:t>
      </w:r>
      <w:r>
        <w:rPr>
          <w:rFonts w:ascii="Arial" w:hAnsi="Arial" w:cs="Arial"/>
          <w:sz w:val="22"/>
          <w:szCs w:val="22"/>
        </w:rPr>
        <w:t xml:space="preserve">the QEP </w:t>
      </w:r>
      <w:r w:rsidRPr="001A625F">
        <w:rPr>
          <w:rFonts w:ascii="Arial" w:hAnsi="Arial" w:cs="Arial"/>
          <w:sz w:val="22"/>
          <w:szCs w:val="22"/>
        </w:rPr>
        <w:t>means little if we are not prepared to use the information to improve student learning or, as Mary J. Allen puts it</w:t>
      </w:r>
      <w:r>
        <w:rPr>
          <w:rFonts w:ascii="Arial" w:hAnsi="Arial" w:cs="Arial"/>
          <w:sz w:val="22"/>
          <w:szCs w:val="22"/>
        </w:rPr>
        <w:t>,</w:t>
      </w:r>
      <w:r w:rsidRPr="001A625F">
        <w:rPr>
          <w:rFonts w:ascii="Arial" w:hAnsi="Arial" w:cs="Arial"/>
          <w:sz w:val="22"/>
          <w:szCs w:val="22"/>
        </w:rPr>
        <w:t xml:space="preserve"> to turn “raw data into useful information” (131).</w:t>
      </w:r>
      <w:r>
        <w:rPr>
          <w:rFonts w:ascii="Arial" w:hAnsi="Arial" w:cs="Arial"/>
          <w:sz w:val="22"/>
          <w:szCs w:val="22"/>
        </w:rPr>
        <w:t xml:space="preserve"> T</w:t>
      </w:r>
      <w:r w:rsidRPr="00F9756E">
        <w:rPr>
          <w:rFonts w:ascii="Arial" w:hAnsi="Arial" w:cs="Arial"/>
          <w:sz w:val="22"/>
          <w:szCs w:val="22"/>
        </w:rPr>
        <w:t>he QEP assessment plans reflect room for common un</w:t>
      </w:r>
      <w:r>
        <w:rPr>
          <w:rFonts w:ascii="Arial" w:hAnsi="Arial" w:cs="Arial"/>
          <w:sz w:val="22"/>
          <w:szCs w:val="22"/>
        </w:rPr>
        <w:t>derstanding and process evolution</w:t>
      </w:r>
      <w:r w:rsidRPr="00F9756E">
        <w:rPr>
          <w:rFonts w:ascii="Arial" w:hAnsi="Arial" w:cs="Arial"/>
          <w:sz w:val="22"/>
          <w:szCs w:val="22"/>
        </w:rPr>
        <w:t>, and provide a basis for measurement across the spectrum of Southeastern programs. Over time, these assessments will serve to determine success of programs and of efforts to improve student performance in those areas.</w:t>
      </w:r>
      <w:r>
        <w:rPr>
          <w:rFonts w:ascii="Arial" w:hAnsi="Arial" w:cs="Arial"/>
          <w:sz w:val="22"/>
          <w:szCs w:val="22"/>
        </w:rPr>
        <w:t xml:space="preserve"> </w:t>
      </w:r>
    </w:p>
    <w:p w:rsidR="00965E2F" w:rsidRDefault="007C2D86"/>
    <w:sectPr w:rsidR="00965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952A1"/>
    <w:multiLevelType w:val="hybridMultilevel"/>
    <w:tmpl w:val="55EC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A2959"/>
    <w:multiLevelType w:val="hybridMultilevel"/>
    <w:tmpl w:val="B2C0E8E6"/>
    <w:lvl w:ilvl="0" w:tplc="C8EC90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776592"/>
    <w:multiLevelType w:val="hybridMultilevel"/>
    <w:tmpl w:val="B6882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41822"/>
    <w:multiLevelType w:val="hybridMultilevel"/>
    <w:tmpl w:val="42D42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F56D9"/>
    <w:multiLevelType w:val="hybridMultilevel"/>
    <w:tmpl w:val="DB5E66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52649"/>
    <w:multiLevelType w:val="hybridMultilevel"/>
    <w:tmpl w:val="06A4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D5A09"/>
    <w:multiLevelType w:val="hybridMultilevel"/>
    <w:tmpl w:val="C15A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C553B"/>
    <w:multiLevelType w:val="hybridMultilevel"/>
    <w:tmpl w:val="D618E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822F2"/>
    <w:multiLevelType w:val="hybridMultilevel"/>
    <w:tmpl w:val="3A72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932E6"/>
    <w:multiLevelType w:val="hybridMultilevel"/>
    <w:tmpl w:val="DF4A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0"/>
  </w:num>
  <w:num w:numId="6">
    <w:abstractNumId w:val="6"/>
  </w:num>
  <w:num w:numId="7">
    <w:abstractNumId w:val="8"/>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A0C"/>
    <w:rsid w:val="00277968"/>
    <w:rsid w:val="007C2D86"/>
    <w:rsid w:val="00911A0C"/>
    <w:rsid w:val="00B255D6"/>
    <w:rsid w:val="00CB32C0"/>
    <w:rsid w:val="00DE14B9"/>
    <w:rsid w:val="00EE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6001E-292A-4E0F-9F15-719CE697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A0C"/>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A0C"/>
    <w:pPr>
      <w:ind w:left="720"/>
      <w:contextualSpacing/>
    </w:pPr>
    <w:rPr>
      <w:rFonts w:eastAsia="Times New Roman" w:cs="Times New Roman"/>
    </w:rPr>
  </w:style>
  <w:style w:type="table" w:styleId="TableGrid">
    <w:name w:val="Table Grid"/>
    <w:basedOn w:val="TableNormal"/>
    <w:uiPriority w:val="59"/>
    <w:rsid w:val="00911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1A0C"/>
    <w:rPr>
      <w:color w:val="0000FF"/>
      <w:u w:val="single"/>
    </w:rPr>
  </w:style>
  <w:style w:type="paragraph" w:styleId="BalloonText">
    <w:name w:val="Balloon Text"/>
    <w:basedOn w:val="Normal"/>
    <w:link w:val="BalloonTextChar"/>
    <w:uiPriority w:val="99"/>
    <w:semiHidden/>
    <w:unhideWhenUsed/>
    <w:rsid w:val="00DE1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Colors" Target="diagrams/colors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4BA938-1D2F-45B3-9B92-17B529A43414}" type="doc">
      <dgm:prSet loTypeId="urn:microsoft.com/office/officeart/2005/8/layout/bProcess2" loCatId="process" qsTypeId="urn:microsoft.com/office/officeart/2005/8/quickstyle/simple1" qsCatId="simple" csTypeId="urn:microsoft.com/office/officeart/2005/8/colors/accent3_2" csCatId="accent3" phldr="1"/>
      <dgm:spPr/>
      <dgm:t>
        <a:bodyPr/>
        <a:lstStyle/>
        <a:p>
          <a:endParaRPr lang="en-US"/>
        </a:p>
      </dgm:t>
    </dgm:pt>
    <dgm:pt modelId="{A4688992-864F-46BD-B076-104812D8D63A}">
      <dgm:prSet phldrT="[Text]" custT="1"/>
      <dgm:spPr>
        <a:solidFill>
          <a:srgbClr val="006648"/>
        </a:solidFill>
      </dgm:spPr>
      <dgm:t>
        <a:bodyPr/>
        <a:lstStyle/>
        <a:p>
          <a:pPr algn="ctr"/>
          <a:r>
            <a:rPr lang="en-US" sz="1100">
              <a:latin typeface="Arial" pitchFamily="34" charset="0"/>
              <a:cs typeface="Arial" pitchFamily="34" charset="0"/>
            </a:rPr>
            <a:t>Pre-experience survey</a:t>
          </a:r>
        </a:p>
      </dgm:t>
    </dgm:pt>
    <dgm:pt modelId="{9589C90E-E27F-4742-A1A4-A808F85C6C26}" type="parTrans" cxnId="{492D7EF9-B448-4611-B390-C9F60321368A}">
      <dgm:prSet/>
      <dgm:spPr/>
      <dgm:t>
        <a:bodyPr/>
        <a:lstStyle/>
        <a:p>
          <a:pPr algn="ctr"/>
          <a:endParaRPr lang="en-US"/>
        </a:p>
      </dgm:t>
    </dgm:pt>
    <dgm:pt modelId="{346AD1A9-0DD6-48B9-A2B3-545E937FFBD3}" type="sibTrans" cxnId="{492D7EF9-B448-4611-B390-C9F60321368A}">
      <dgm:prSet/>
      <dgm:spPr>
        <a:solidFill>
          <a:srgbClr val="CBDAB5"/>
        </a:solidFill>
        <a:ln>
          <a:solidFill>
            <a:schemeClr val="tx1"/>
          </a:solidFill>
        </a:ln>
      </dgm:spPr>
      <dgm:t>
        <a:bodyPr/>
        <a:lstStyle/>
        <a:p>
          <a:pPr algn="ctr"/>
          <a:endParaRPr lang="en-US"/>
        </a:p>
      </dgm:t>
    </dgm:pt>
    <dgm:pt modelId="{A4166FA6-392D-4CD8-869E-87E5360DD306}">
      <dgm:prSet phldrT="[Text]" custT="1"/>
      <dgm:spPr>
        <a:solidFill>
          <a:srgbClr val="006648"/>
        </a:solidFill>
      </dgm:spPr>
      <dgm:t>
        <a:bodyPr/>
        <a:lstStyle/>
        <a:p>
          <a:pPr algn="ctr"/>
          <a:r>
            <a:rPr lang="en-US" sz="1100">
              <a:latin typeface="Arial" pitchFamily="34" charset="0"/>
              <a:cs typeface="Arial" pitchFamily="34" charset="0"/>
            </a:rPr>
            <a:t>Course embedded formative assessment</a:t>
          </a:r>
        </a:p>
      </dgm:t>
    </dgm:pt>
    <dgm:pt modelId="{311ADB90-48D4-4E8F-8BEC-992BA22C1288}" type="parTrans" cxnId="{DC4ADE48-E4E2-4A89-A53B-117406660E7D}">
      <dgm:prSet/>
      <dgm:spPr/>
      <dgm:t>
        <a:bodyPr/>
        <a:lstStyle/>
        <a:p>
          <a:pPr algn="ctr"/>
          <a:endParaRPr lang="en-US"/>
        </a:p>
      </dgm:t>
    </dgm:pt>
    <dgm:pt modelId="{431028ED-32A4-44EC-918E-7F61696A57E6}" type="sibTrans" cxnId="{DC4ADE48-E4E2-4A89-A53B-117406660E7D}">
      <dgm:prSet/>
      <dgm:spPr>
        <a:ln>
          <a:solidFill>
            <a:schemeClr val="tx1"/>
          </a:solidFill>
        </a:ln>
      </dgm:spPr>
      <dgm:t>
        <a:bodyPr/>
        <a:lstStyle/>
        <a:p>
          <a:pPr algn="ctr"/>
          <a:endParaRPr lang="en-US"/>
        </a:p>
      </dgm:t>
    </dgm:pt>
    <dgm:pt modelId="{13A79C52-24D1-45D5-938A-3AAEADFC5438}">
      <dgm:prSet phldrT="[Text]" custT="1"/>
      <dgm:spPr>
        <a:solidFill>
          <a:srgbClr val="006648"/>
        </a:solidFill>
      </dgm:spPr>
      <dgm:t>
        <a:bodyPr/>
        <a:lstStyle/>
        <a:p>
          <a:pPr algn="ctr"/>
          <a:r>
            <a:rPr lang="en-US" sz="1100" baseline="0">
              <a:solidFill>
                <a:schemeClr val="bg1"/>
              </a:solidFill>
              <a:latin typeface="Arial" pitchFamily="34" charset="0"/>
              <a:cs typeface="Arial" pitchFamily="34" charset="0"/>
            </a:rPr>
            <a:t>The Experience</a:t>
          </a:r>
        </a:p>
      </dgm:t>
    </dgm:pt>
    <dgm:pt modelId="{38784E83-9D7E-4C0F-9C31-E4615A512394}" type="parTrans" cxnId="{F1667D51-7CFF-49A0-AE0F-A9F665529F11}">
      <dgm:prSet/>
      <dgm:spPr/>
      <dgm:t>
        <a:bodyPr/>
        <a:lstStyle/>
        <a:p>
          <a:pPr algn="ctr"/>
          <a:endParaRPr lang="en-US"/>
        </a:p>
      </dgm:t>
    </dgm:pt>
    <dgm:pt modelId="{019A78C9-0230-4EFF-9FC6-0A1702E59B62}" type="sibTrans" cxnId="{F1667D51-7CFF-49A0-AE0F-A9F665529F11}">
      <dgm:prSet/>
      <dgm:spPr>
        <a:solidFill>
          <a:srgbClr val="CBDAB5"/>
        </a:solidFill>
        <a:ln>
          <a:solidFill>
            <a:schemeClr val="tx1"/>
          </a:solidFill>
        </a:ln>
      </dgm:spPr>
      <dgm:t>
        <a:bodyPr/>
        <a:lstStyle/>
        <a:p>
          <a:pPr algn="ctr"/>
          <a:endParaRPr lang="en-US"/>
        </a:p>
      </dgm:t>
    </dgm:pt>
    <dgm:pt modelId="{685FD075-50FD-48E1-ADDE-F1713080AD34}">
      <dgm:prSet phldrT="[Text]" custT="1"/>
      <dgm:spPr>
        <a:solidFill>
          <a:srgbClr val="006648"/>
        </a:solidFill>
      </dgm:spPr>
      <dgm:t>
        <a:bodyPr/>
        <a:lstStyle/>
        <a:p>
          <a:pPr algn="ctr"/>
          <a:r>
            <a:rPr lang="en-US" sz="1100">
              <a:latin typeface="Arial" pitchFamily="34" charset="0"/>
              <a:cs typeface="Arial" pitchFamily="34" charset="0"/>
            </a:rPr>
            <a:t>Community-based summative assessment</a:t>
          </a:r>
        </a:p>
      </dgm:t>
    </dgm:pt>
    <dgm:pt modelId="{E4345927-9729-414F-BE4C-AF1448491D5B}" type="parTrans" cxnId="{9C209BD1-CB55-49FC-AC80-7BF7108428CE}">
      <dgm:prSet/>
      <dgm:spPr/>
      <dgm:t>
        <a:bodyPr/>
        <a:lstStyle/>
        <a:p>
          <a:pPr algn="ctr"/>
          <a:endParaRPr lang="en-US"/>
        </a:p>
      </dgm:t>
    </dgm:pt>
    <dgm:pt modelId="{D75F1559-E363-4748-918C-395AAAD719EA}" type="sibTrans" cxnId="{9C209BD1-CB55-49FC-AC80-7BF7108428CE}">
      <dgm:prSet/>
      <dgm:spPr>
        <a:ln>
          <a:solidFill>
            <a:schemeClr val="tx1"/>
          </a:solidFill>
        </a:ln>
      </dgm:spPr>
      <dgm:t>
        <a:bodyPr/>
        <a:lstStyle/>
        <a:p>
          <a:pPr algn="ctr"/>
          <a:endParaRPr lang="en-US"/>
        </a:p>
      </dgm:t>
    </dgm:pt>
    <dgm:pt modelId="{4F5FB5AE-8664-428F-B5B7-DA58343C7F93}">
      <dgm:prSet phldrT="[Text]" custT="1"/>
      <dgm:spPr>
        <a:solidFill>
          <a:srgbClr val="006648"/>
        </a:solidFill>
      </dgm:spPr>
      <dgm:t>
        <a:bodyPr/>
        <a:lstStyle/>
        <a:p>
          <a:pPr algn="ctr"/>
          <a:r>
            <a:rPr lang="en-US" sz="1100">
              <a:latin typeface="Arial" pitchFamily="34" charset="0"/>
              <a:cs typeface="Arial" pitchFamily="34" charset="0"/>
            </a:rPr>
            <a:t>The Work</a:t>
          </a:r>
        </a:p>
      </dgm:t>
    </dgm:pt>
    <dgm:pt modelId="{2921456A-1630-4D4E-9E83-B9F14A519F4A}" type="parTrans" cxnId="{98CB1A24-662C-4608-BC8F-DB84F2F6C636}">
      <dgm:prSet/>
      <dgm:spPr/>
      <dgm:t>
        <a:bodyPr/>
        <a:lstStyle/>
        <a:p>
          <a:pPr algn="ctr"/>
          <a:endParaRPr lang="en-US"/>
        </a:p>
      </dgm:t>
    </dgm:pt>
    <dgm:pt modelId="{5F7C5A70-E339-4904-A6DE-D9D1D657F90E}" type="sibTrans" cxnId="{98CB1A24-662C-4608-BC8F-DB84F2F6C636}">
      <dgm:prSet/>
      <dgm:spPr>
        <a:ln>
          <a:solidFill>
            <a:schemeClr val="tx1"/>
          </a:solidFill>
        </a:ln>
      </dgm:spPr>
      <dgm:t>
        <a:bodyPr/>
        <a:lstStyle/>
        <a:p>
          <a:pPr algn="ctr"/>
          <a:endParaRPr lang="en-US"/>
        </a:p>
      </dgm:t>
    </dgm:pt>
    <dgm:pt modelId="{E7F1981D-C5B8-46B0-9DE0-6F7204C083CD}">
      <dgm:prSet phldrT="[Text]" custT="1"/>
      <dgm:spPr>
        <a:solidFill>
          <a:srgbClr val="006648"/>
        </a:solidFill>
      </dgm:spPr>
      <dgm:t>
        <a:bodyPr/>
        <a:lstStyle/>
        <a:p>
          <a:pPr algn="ctr"/>
          <a:r>
            <a:rPr lang="en-US" sz="1100">
              <a:latin typeface="Arial" pitchFamily="34" charset="0"/>
              <a:cs typeface="Arial" pitchFamily="34" charset="0"/>
            </a:rPr>
            <a:t>Course-embedded summative assessment</a:t>
          </a:r>
        </a:p>
      </dgm:t>
    </dgm:pt>
    <dgm:pt modelId="{8EFDBAFE-081B-4F2D-AE9C-53AE3A45E88A}" type="parTrans" cxnId="{111A7582-FA5E-4BB8-8E30-2A52436C698A}">
      <dgm:prSet/>
      <dgm:spPr/>
      <dgm:t>
        <a:bodyPr/>
        <a:lstStyle/>
        <a:p>
          <a:pPr algn="ctr"/>
          <a:endParaRPr lang="en-US"/>
        </a:p>
      </dgm:t>
    </dgm:pt>
    <dgm:pt modelId="{C9FE5AF9-A27B-4909-92CA-3D0E6DC3E7B0}" type="sibTrans" cxnId="{111A7582-FA5E-4BB8-8E30-2A52436C698A}">
      <dgm:prSet/>
      <dgm:spPr>
        <a:ln>
          <a:solidFill>
            <a:schemeClr val="tx1"/>
          </a:solidFill>
        </a:ln>
      </dgm:spPr>
      <dgm:t>
        <a:bodyPr/>
        <a:lstStyle/>
        <a:p>
          <a:pPr algn="ctr"/>
          <a:endParaRPr lang="en-US"/>
        </a:p>
      </dgm:t>
    </dgm:pt>
    <dgm:pt modelId="{98AB975A-E17B-4E56-948D-51B5DF78ADD1}">
      <dgm:prSet phldrT="[Text]" custT="1"/>
      <dgm:spPr>
        <a:solidFill>
          <a:srgbClr val="006648"/>
        </a:solidFill>
      </dgm:spPr>
      <dgm:t>
        <a:bodyPr/>
        <a:lstStyle/>
        <a:p>
          <a:pPr algn="ctr"/>
          <a:r>
            <a:rPr lang="en-US" sz="1100">
              <a:latin typeface="Arial" pitchFamily="34" charset="0"/>
              <a:cs typeface="Arial" pitchFamily="34" charset="0"/>
            </a:rPr>
            <a:t>Post-experience survey</a:t>
          </a:r>
        </a:p>
      </dgm:t>
    </dgm:pt>
    <dgm:pt modelId="{949C5CE5-ABAC-40CE-BB4D-46044DA3940F}" type="parTrans" cxnId="{A8F8C9CE-2DD1-48F2-9C76-78C675346C41}">
      <dgm:prSet/>
      <dgm:spPr/>
      <dgm:t>
        <a:bodyPr/>
        <a:lstStyle/>
        <a:p>
          <a:pPr algn="ctr"/>
          <a:endParaRPr lang="en-US"/>
        </a:p>
      </dgm:t>
    </dgm:pt>
    <dgm:pt modelId="{88833CA2-89EA-4C06-8A12-812E9C5354F3}" type="sibTrans" cxnId="{A8F8C9CE-2DD1-48F2-9C76-78C675346C41}">
      <dgm:prSet/>
      <dgm:spPr/>
      <dgm:t>
        <a:bodyPr/>
        <a:lstStyle/>
        <a:p>
          <a:pPr algn="ctr"/>
          <a:endParaRPr lang="en-US"/>
        </a:p>
      </dgm:t>
    </dgm:pt>
    <dgm:pt modelId="{82DE97B6-DE26-43B9-98E6-D9A450EFA8DE}" type="pres">
      <dgm:prSet presAssocID="{EB4BA938-1D2F-45B3-9B92-17B529A43414}" presName="diagram" presStyleCnt="0">
        <dgm:presLayoutVars>
          <dgm:dir/>
          <dgm:resizeHandles/>
        </dgm:presLayoutVars>
      </dgm:prSet>
      <dgm:spPr/>
      <dgm:t>
        <a:bodyPr/>
        <a:lstStyle/>
        <a:p>
          <a:endParaRPr lang="en-US"/>
        </a:p>
      </dgm:t>
    </dgm:pt>
    <dgm:pt modelId="{30EEBC05-F1DD-4D61-93AA-31436B957A85}" type="pres">
      <dgm:prSet presAssocID="{A4688992-864F-46BD-B076-104812D8D63A}" presName="firstNode" presStyleLbl="node1" presStyleIdx="0" presStyleCnt="7" custScaleX="122027" custScaleY="116219">
        <dgm:presLayoutVars>
          <dgm:bulletEnabled val="1"/>
        </dgm:presLayoutVars>
      </dgm:prSet>
      <dgm:spPr>
        <a:prstGeom prst="roundRect">
          <a:avLst/>
        </a:prstGeom>
      </dgm:spPr>
      <dgm:t>
        <a:bodyPr/>
        <a:lstStyle/>
        <a:p>
          <a:endParaRPr lang="en-US"/>
        </a:p>
      </dgm:t>
    </dgm:pt>
    <dgm:pt modelId="{2B63EC43-6857-4E29-A904-25900D34F517}" type="pres">
      <dgm:prSet presAssocID="{346AD1A9-0DD6-48B9-A2B3-545E937FFBD3}" presName="sibTrans" presStyleLbl="sibTrans2D1" presStyleIdx="0" presStyleCnt="6"/>
      <dgm:spPr/>
      <dgm:t>
        <a:bodyPr/>
        <a:lstStyle/>
        <a:p>
          <a:endParaRPr lang="en-US"/>
        </a:p>
      </dgm:t>
    </dgm:pt>
    <dgm:pt modelId="{41BB0EC3-B9E3-471A-9A82-A18C58C8A6C9}" type="pres">
      <dgm:prSet presAssocID="{A4166FA6-392D-4CD8-869E-87E5360DD306}" presName="middleNode" presStyleCnt="0"/>
      <dgm:spPr/>
    </dgm:pt>
    <dgm:pt modelId="{D75227EC-F5AA-4499-8308-A59186185D90}" type="pres">
      <dgm:prSet presAssocID="{A4166FA6-392D-4CD8-869E-87E5360DD306}" presName="padding" presStyleLbl="node1" presStyleIdx="0" presStyleCnt="7"/>
      <dgm:spPr/>
    </dgm:pt>
    <dgm:pt modelId="{E714DDB1-CA7D-46D6-8E93-7025F55C3A3A}" type="pres">
      <dgm:prSet presAssocID="{A4166FA6-392D-4CD8-869E-87E5360DD306}" presName="shape" presStyleLbl="node1" presStyleIdx="1" presStyleCnt="7" custScaleX="178081" custScaleY="167454">
        <dgm:presLayoutVars>
          <dgm:bulletEnabled val="1"/>
        </dgm:presLayoutVars>
      </dgm:prSet>
      <dgm:spPr>
        <a:prstGeom prst="roundRect">
          <a:avLst/>
        </a:prstGeom>
      </dgm:spPr>
      <dgm:t>
        <a:bodyPr/>
        <a:lstStyle/>
        <a:p>
          <a:endParaRPr lang="en-US"/>
        </a:p>
      </dgm:t>
    </dgm:pt>
    <dgm:pt modelId="{42B2A7D9-3D64-4C3A-8CF5-711461C8780F}" type="pres">
      <dgm:prSet presAssocID="{431028ED-32A4-44EC-918E-7F61696A57E6}" presName="sibTrans" presStyleLbl="sibTrans2D1" presStyleIdx="1" presStyleCnt="6"/>
      <dgm:spPr/>
      <dgm:t>
        <a:bodyPr/>
        <a:lstStyle/>
        <a:p>
          <a:endParaRPr lang="en-US"/>
        </a:p>
      </dgm:t>
    </dgm:pt>
    <dgm:pt modelId="{C77FABCE-F11A-4276-858E-194446ECE450}" type="pres">
      <dgm:prSet presAssocID="{13A79C52-24D1-45D5-938A-3AAEADFC5438}" presName="middleNode" presStyleCnt="0"/>
      <dgm:spPr/>
    </dgm:pt>
    <dgm:pt modelId="{015077EC-8C3D-4818-A66F-E22A18BBA2E7}" type="pres">
      <dgm:prSet presAssocID="{13A79C52-24D1-45D5-938A-3AAEADFC5438}" presName="padding" presStyleLbl="node1" presStyleIdx="1" presStyleCnt="7"/>
      <dgm:spPr/>
    </dgm:pt>
    <dgm:pt modelId="{C20D0B15-E991-40FA-A189-1378EF8B2FEF}" type="pres">
      <dgm:prSet presAssocID="{13A79C52-24D1-45D5-938A-3AAEADFC5438}" presName="shape" presStyleLbl="node1" presStyleIdx="2" presStyleCnt="7" custScaleX="171327" custScaleY="166848">
        <dgm:presLayoutVars>
          <dgm:bulletEnabled val="1"/>
        </dgm:presLayoutVars>
      </dgm:prSet>
      <dgm:spPr>
        <a:prstGeom prst="roundRect">
          <a:avLst/>
        </a:prstGeom>
      </dgm:spPr>
      <dgm:t>
        <a:bodyPr/>
        <a:lstStyle/>
        <a:p>
          <a:endParaRPr lang="en-US"/>
        </a:p>
      </dgm:t>
    </dgm:pt>
    <dgm:pt modelId="{87112621-C1A1-4762-9E5F-A785E4FA9EDB}" type="pres">
      <dgm:prSet presAssocID="{019A78C9-0230-4EFF-9FC6-0A1702E59B62}" presName="sibTrans" presStyleLbl="sibTrans2D1" presStyleIdx="2" presStyleCnt="6"/>
      <dgm:spPr/>
      <dgm:t>
        <a:bodyPr/>
        <a:lstStyle/>
        <a:p>
          <a:endParaRPr lang="en-US"/>
        </a:p>
      </dgm:t>
    </dgm:pt>
    <dgm:pt modelId="{891901F3-6ACD-4361-B644-3611A5E36F97}" type="pres">
      <dgm:prSet presAssocID="{685FD075-50FD-48E1-ADDE-F1713080AD34}" presName="middleNode" presStyleCnt="0"/>
      <dgm:spPr/>
    </dgm:pt>
    <dgm:pt modelId="{F6595C3A-B460-4488-9959-D2CC04D05AF7}" type="pres">
      <dgm:prSet presAssocID="{685FD075-50FD-48E1-ADDE-F1713080AD34}" presName="padding" presStyleLbl="node1" presStyleIdx="2" presStyleCnt="7"/>
      <dgm:spPr/>
    </dgm:pt>
    <dgm:pt modelId="{132E3AAF-B897-468E-A1F5-F297A66E8B25}" type="pres">
      <dgm:prSet presAssocID="{685FD075-50FD-48E1-ADDE-F1713080AD34}" presName="shape" presStyleLbl="node1" presStyleIdx="3" presStyleCnt="7" custScaleX="177273" custScaleY="176952">
        <dgm:presLayoutVars>
          <dgm:bulletEnabled val="1"/>
        </dgm:presLayoutVars>
      </dgm:prSet>
      <dgm:spPr>
        <a:prstGeom prst="roundRect">
          <a:avLst/>
        </a:prstGeom>
      </dgm:spPr>
      <dgm:t>
        <a:bodyPr/>
        <a:lstStyle/>
        <a:p>
          <a:endParaRPr lang="en-US"/>
        </a:p>
      </dgm:t>
    </dgm:pt>
    <dgm:pt modelId="{D5D3E750-A4EA-4D01-B95C-46049ADC6884}" type="pres">
      <dgm:prSet presAssocID="{D75F1559-E363-4748-918C-395AAAD719EA}" presName="sibTrans" presStyleLbl="sibTrans2D1" presStyleIdx="3" presStyleCnt="6"/>
      <dgm:spPr/>
      <dgm:t>
        <a:bodyPr/>
        <a:lstStyle/>
        <a:p>
          <a:endParaRPr lang="en-US"/>
        </a:p>
      </dgm:t>
    </dgm:pt>
    <dgm:pt modelId="{4E78ADDF-9DB3-4967-BD5C-8DD3043110B4}" type="pres">
      <dgm:prSet presAssocID="{4F5FB5AE-8664-428F-B5B7-DA58343C7F93}" presName="middleNode" presStyleCnt="0"/>
      <dgm:spPr/>
    </dgm:pt>
    <dgm:pt modelId="{656FCD9C-258F-4C69-9F5F-693CE7FE49FE}" type="pres">
      <dgm:prSet presAssocID="{4F5FB5AE-8664-428F-B5B7-DA58343C7F93}" presName="padding" presStyleLbl="node1" presStyleIdx="3" presStyleCnt="7"/>
      <dgm:spPr/>
    </dgm:pt>
    <dgm:pt modelId="{52A159EB-462A-4778-8B8D-4526FEEE499D}" type="pres">
      <dgm:prSet presAssocID="{4F5FB5AE-8664-428F-B5B7-DA58343C7F93}" presName="shape" presStyleLbl="node1" presStyleIdx="4" presStyleCnt="7" custScaleX="182133" custScaleY="179642">
        <dgm:presLayoutVars>
          <dgm:bulletEnabled val="1"/>
        </dgm:presLayoutVars>
      </dgm:prSet>
      <dgm:spPr>
        <a:prstGeom prst="roundRect">
          <a:avLst/>
        </a:prstGeom>
      </dgm:spPr>
      <dgm:t>
        <a:bodyPr/>
        <a:lstStyle/>
        <a:p>
          <a:endParaRPr lang="en-US"/>
        </a:p>
      </dgm:t>
    </dgm:pt>
    <dgm:pt modelId="{767EADC1-B14E-4A74-B822-E2659549F61D}" type="pres">
      <dgm:prSet presAssocID="{5F7C5A70-E339-4904-A6DE-D9D1D657F90E}" presName="sibTrans" presStyleLbl="sibTrans2D1" presStyleIdx="4" presStyleCnt="6"/>
      <dgm:spPr/>
      <dgm:t>
        <a:bodyPr/>
        <a:lstStyle/>
        <a:p>
          <a:endParaRPr lang="en-US"/>
        </a:p>
      </dgm:t>
    </dgm:pt>
    <dgm:pt modelId="{2EE74799-1FF4-4F5F-AAF7-59B295D6D915}" type="pres">
      <dgm:prSet presAssocID="{E7F1981D-C5B8-46B0-9DE0-6F7204C083CD}" presName="middleNode" presStyleCnt="0"/>
      <dgm:spPr/>
    </dgm:pt>
    <dgm:pt modelId="{0F863EB7-A47A-41C1-A70B-753F14104843}" type="pres">
      <dgm:prSet presAssocID="{E7F1981D-C5B8-46B0-9DE0-6F7204C083CD}" presName="padding" presStyleLbl="node1" presStyleIdx="4" presStyleCnt="7"/>
      <dgm:spPr/>
    </dgm:pt>
    <dgm:pt modelId="{3AB93F6D-856E-47B6-8D57-95BEFC46648E}" type="pres">
      <dgm:prSet presAssocID="{E7F1981D-C5B8-46B0-9DE0-6F7204C083CD}" presName="shape" presStyleLbl="node1" presStyleIdx="5" presStyleCnt="7" custScaleX="177988" custScaleY="161881">
        <dgm:presLayoutVars>
          <dgm:bulletEnabled val="1"/>
        </dgm:presLayoutVars>
      </dgm:prSet>
      <dgm:spPr>
        <a:prstGeom prst="roundRect">
          <a:avLst/>
        </a:prstGeom>
      </dgm:spPr>
      <dgm:t>
        <a:bodyPr/>
        <a:lstStyle/>
        <a:p>
          <a:endParaRPr lang="en-US"/>
        </a:p>
      </dgm:t>
    </dgm:pt>
    <dgm:pt modelId="{78A6BFB1-2455-48D1-A403-2F0A5CD6EC4C}" type="pres">
      <dgm:prSet presAssocID="{C9FE5AF9-A27B-4909-92CA-3D0E6DC3E7B0}" presName="sibTrans" presStyleLbl="sibTrans2D1" presStyleIdx="5" presStyleCnt="6"/>
      <dgm:spPr/>
      <dgm:t>
        <a:bodyPr/>
        <a:lstStyle/>
        <a:p>
          <a:endParaRPr lang="en-US"/>
        </a:p>
      </dgm:t>
    </dgm:pt>
    <dgm:pt modelId="{6A7AE84D-B50A-423E-9710-4E66BC87FFAD}" type="pres">
      <dgm:prSet presAssocID="{98AB975A-E17B-4E56-948D-51B5DF78ADD1}" presName="lastNode" presStyleLbl="node1" presStyleIdx="6" presStyleCnt="7" custScaleX="113744" custScaleY="113620">
        <dgm:presLayoutVars>
          <dgm:bulletEnabled val="1"/>
        </dgm:presLayoutVars>
      </dgm:prSet>
      <dgm:spPr>
        <a:prstGeom prst="roundRect">
          <a:avLst/>
        </a:prstGeom>
      </dgm:spPr>
      <dgm:t>
        <a:bodyPr/>
        <a:lstStyle/>
        <a:p>
          <a:endParaRPr lang="en-US"/>
        </a:p>
      </dgm:t>
    </dgm:pt>
  </dgm:ptLst>
  <dgm:cxnLst>
    <dgm:cxn modelId="{98CB1A24-662C-4608-BC8F-DB84F2F6C636}" srcId="{EB4BA938-1D2F-45B3-9B92-17B529A43414}" destId="{4F5FB5AE-8664-428F-B5B7-DA58343C7F93}" srcOrd="4" destOrd="0" parTransId="{2921456A-1630-4D4E-9E83-B9F14A519F4A}" sibTransId="{5F7C5A70-E339-4904-A6DE-D9D1D657F90E}"/>
    <dgm:cxn modelId="{B3D77583-FC27-46BA-969F-D231A923E902}" type="presOf" srcId="{E7F1981D-C5B8-46B0-9DE0-6F7204C083CD}" destId="{3AB93F6D-856E-47B6-8D57-95BEFC46648E}" srcOrd="0" destOrd="0" presId="urn:microsoft.com/office/officeart/2005/8/layout/bProcess2"/>
    <dgm:cxn modelId="{F1667D51-7CFF-49A0-AE0F-A9F665529F11}" srcId="{EB4BA938-1D2F-45B3-9B92-17B529A43414}" destId="{13A79C52-24D1-45D5-938A-3AAEADFC5438}" srcOrd="2" destOrd="0" parTransId="{38784E83-9D7E-4C0F-9C31-E4615A512394}" sibTransId="{019A78C9-0230-4EFF-9FC6-0A1702E59B62}"/>
    <dgm:cxn modelId="{3C960D82-4212-4167-8175-820A3F192F6D}" type="presOf" srcId="{EB4BA938-1D2F-45B3-9B92-17B529A43414}" destId="{82DE97B6-DE26-43B9-98E6-D9A450EFA8DE}" srcOrd="0" destOrd="0" presId="urn:microsoft.com/office/officeart/2005/8/layout/bProcess2"/>
    <dgm:cxn modelId="{4599D329-103B-4826-A31C-745D2ED02215}" type="presOf" srcId="{685FD075-50FD-48E1-ADDE-F1713080AD34}" destId="{132E3AAF-B897-468E-A1F5-F297A66E8B25}" srcOrd="0" destOrd="0" presId="urn:microsoft.com/office/officeart/2005/8/layout/bProcess2"/>
    <dgm:cxn modelId="{0C8F2660-6A24-466F-B123-2472CCA32782}" type="presOf" srcId="{98AB975A-E17B-4E56-948D-51B5DF78ADD1}" destId="{6A7AE84D-B50A-423E-9710-4E66BC87FFAD}" srcOrd="0" destOrd="0" presId="urn:microsoft.com/office/officeart/2005/8/layout/bProcess2"/>
    <dgm:cxn modelId="{C6DAB221-4977-42A6-8246-E20CC55A836D}" type="presOf" srcId="{5F7C5A70-E339-4904-A6DE-D9D1D657F90E}" destId="{767EADC1-B14E-4A74-B822-E2659549F61D}" srcOrd="0" destOrd="0" presId="urn:microsoft.com/office/officeart/2005/8/layout/bProcess2"/>
    <dgm:cxn modelId="{DC4ADE48-E4E2-4A89-A53B-117406660E7D}" srcId="{EB4BA938-1D2F-45B3-9B92-17B529A43414}" destId="{A4166FA6-392D-4CD8-869E-87E5360DD306}" srcOrd="1" destOrd="0" parTransId="{311ADB90-48D4-4E8F-8BEC-992BA22C1288}" sibTransId="{431028ED-32A4-44EC-918E-7F61696A57E6}"/>
    <dgm:cxn modelId="{A8F8C9CE-2DD1-48F2-9C76-78C675346C41}" srcId="{EB4BA938-1D2F-45B3-9B92-17B529A43414}" destId="{98AB975A-E17B-4E56-948D-51B5DF78ADD1}" srcOrd="6" destOrd="0" parTransId="{949C5CE5-ABAC-40CE-BB4D-46044DA3940F}" sibTransId="{88833CA2-89EA-4C06-8A12-812E9C5354F3}"/>
    <dgm:cxn modelId="{492D7EF9-B448-4611-B390-C9F60321368A}" srcId="{EB4BA938-1D2F-45B3-9B92-17B529A43414}" destId="{A4688992-864F-46BD-B076-104812D8D63A}" srcOrd="0" destOrd="0" parTransId="{9589C90E-E27F-4742-A1A4-A808F85C6C26}" sibTransId="{346AD1A9-0DD6-48B9-A2B3-545E937FFBD3}"/>
    <dgm:cxn modelId="{BB43072B-A884-4DA1-9218-6FBCF62BA692}" type="presOf" srcId="{A4688992-864F-46BD-B076-104812D8D63A}" destId="{30EEBC05-F1DD-4D61-93AA-31436B957A85}" srcOrd="0" destOrd="0" presId="urn:microsoft.com/office/officeart/2005/8/layout/bProcess2"/>
    <dgm:cxn modelId="{79E02342-7ED9-4C17-B294-923367BC26D0}" type="presOf" srcId="{431028ED-32A4-44EC-918E-7F61696A57E6}" destId="{42B2A7D9-3D64-4C3A-8CF5-711461C8780F}" srcOrd="0" destOrd="0" presId="urn:microsoft.com/office/officeart/2005/8/layout/bProcess2"/>
    <dgm:cxn modelId="{C289604B-0557-4504-B7AE-0F4CA7B9796B}" type="presOf" srcId="{13A79C52-24D1-45D5-938A-3AAEADFC5438}" destId="{C20D0B15-E991-40FA-A189-1378EF8B2FEF}" srcOrd="0" destOrd="0" presId="urn:microsoft.com/office/officeart/2005/8/layout/bProcess2"/>
    <dgm:cxn modelId="{6170BDD8-9484-4A91-9A5C-695D1E5CAE88}" type="presOf" srcId="{4F5FB5AE-8664-428F-B5B7-DA58343C7F93}" destId="{52A159EB-462A-4778-8B8D-4526FEEE499D}" srcOrd="0" destOrd="0" presId="urn:microsoft.com/office/officeart/2005/8/layout/bProcess2"/>
    <dgm:cxn modelId="{3B927AED-308A-45A5-BDDD-AB0A31F56AA7}" type="presOf" srcId="{019A78C9-0230-4EFF-9FC6-0A1702E59B62}" destId="{87112621-C1A1-4762-9E5F-A785E4FA9EDB}" srcOrd="0" destOrd="0" presId="urn:microsoft.com/office/officeart/2005/8/layout/bProcess2"/>
    <dgm:cxn modelId="{9C209BD1-CB55-49FC-AC80-7BF7108428CE}" srcId="{EB4BA938-1D2F-45B3-9B92-17B529A43414}" destId="{685FD075-50FD-48E1-ADDE-F1713080AD34}" srcOrd="3" destOrd="0" parTransId="{E4345927-9729-414F-BE4C-AF1448491D5B}" sibTransId="{D75F1559-E363-4748-918C-395AAAD719EA}"/>
    <dgm:cxn modelId="{111A7582-FA5E-4BB8-8E30-2A52436C698A}" srcId="{EB4BA938-1D2F-45B3-9B92-17B529A43414}" destId="{E7F1981D-C5B8-46B0-9DE0-6F7204C083CD}" srcOrd="5" destOrd="0" parTransId="{8EFDBAFE-081B-4F2D-AE9C-53AE3A45E88A}" sibTransId="{C9FE5AF9-A27B-4909-92CA-3D0E6DC3E7B0}"/>
    <dgm:cxn modelId="{AB6C11A0-E03D-4A22-86E8-2D373D0ED748}" type="presOf" srcId="{A4166FA6-392D-4CD8-869E-87E5360DD306}" destId="{E714DDB1-CA7D-46D6-8E93-7025F55C3A3A}" srcOrd="0" destOrd="0" presId="urn:microsoft.com/office/officeart/2005/8/layout/bProcess2"/>
    <dgm:cxn modelId="{0860C5D0-C86C-4E2D-AC50-907FCF9F0F74}" type="presOf" srcId="{D75F1559-E363-4748-918C-395AAAD719EA}" destId="{D5D3E750-A4EA-4D01-B95C-46049ADC6884}" srcOrd="0" destOrd="0" presId="urn:microsoft.com/office/officeart/2005/8/layout/bProcess2"/>
    <dgm:cxn modelId="{C706061C-3468-4E6F-98C8-50941B9AEFE2}" type="presOf" srcId="{C9FE5AF9-A27B-4909-92CA-3D0E6DC3E7B0}" destId="{78A6BFB1-2455-48D1-A403-2F0A5CD6EC4C}" srcOrd="0" destOrd="0" presId="urn:microsoft.com/office/officeart/2005/8/layout/bProcess2"/>
    <dgm:cxn modelId="{77AE3678-FA55-4321-B39C-80DF286855AC}" type="presOf" srcId="{346AD1A9-0DD6-48B9-A2B3-545E937FFBD3}" destId="{2B63EC43-6857-4E29-A904-25900D34F517}" srcOrd="0" destOrd="0" presId="urn:microsoft.com/office/officeart/2005/8/layout/bProcess2"/>
    <dgm:cxn modelId="{EFAD99D3-7C6D-4009-9C55-9C122BBB98F9}" type="presParOf" srcId="{82DE97B6-DE26-43B9-98E6-D9A450EFA8DE}" destId="{30EEBC05-F1DD-4D61-93AA-31436B957A85}" srcOrd="0" destOrd="0" presId="urn:microsoft.com/office/officeart/2005/8/layout/bProcess2"/>
    <dgm:cxn modelId="{7140B91F-CF63-43FF-8FEA-8F2777F0FDFF}" type="presParOf" srcId="{82DE97B6-DE26-43B9-98E6-D9A450EFA8DE}" destId="{2B63EC43-6857-4E29-A904-25900D34F517}" srcOrd="1" destOrd="0" presId="urn:microsoft.com/office/officeart/2005/8/layout/bProcess2"/>
    <dgm:cxn modelId="{632D11E3-F6E8-426C-8FA1-43FC2FD78EB9}" type="presParOf" srcId="{82DE97B6-DE26-43B9-98E6-D9A450EFA8DE}" destId="{41BB0EC3-B9E3-471A-9A82-A18C58C8A6C9}" srcOrd="2" destOrd="0" presId="urn:microsoft.com/office/officeart/2005/8/layout/bProcess2"/>
    <dgm:cxn modelId="{9E6CBD7C-5B53-452F-8509-6D8F0A4BA63C}" type="presParOf" srcId="{41BB0EC3-B9E3-471A-9A82-A18C58C8A6C9}" destId="{D75227EC-F5AA-4499-8308-A59186185D90}" srcOrd="0" destOrd="0" presId="urn:microsoft.com/office/officeart/2005/8/layout/bProcess2"/>
    <dgm:cxn modelId="{9E92D37E-C6F7-410D-94F6-18763BCAE4A9}" type="presParOf" srcId="{41BB0EC3-B9E3-471A-9A82-A18C58C8A6C9}" destId="{E714DDB1-CA7D-46D6-8E93-7025F55C3A3A}" srcOrd="1" destOrd="0" presId="urn:microsoft.com/office/officeart/2005/8/layout/bProcess2"/>
    <dgm:cxn modelId="{64C18131-BB3E-4DAD-B497-971C1FCE5164}" type="presParOf" srcId="{82DE97B6-DE26-43B9-98E6-D9A450EFA8DE}" destId="{42B2A7D9-3D64-4C3A-8CF5-711461C8780F}" srcOrd="3" destOrd="0" presId="urn:microsoft.com/office/officeart/2005/8/layout/bProcess2"/>
    <dgm:cxn modelId="{508086D9-08E4-40B9-80E4-0D00286A6247}" type="presParOf" srcId="{82DE97B6-DE26-43B9-98E6-D9A450EFA8DE}" destId="{C77FABCE-F11A-4276-858E-194446ECE450}" srcOrd="4" destOrd="0" presId="urn:microsoft.com/office/officeart/2005/8/layout/bProcess2"/>
    <dgm:cxn modelId="{CBF691CB-676A-4349-A303-369F3259AAEA}" type="presParOf" srcId="{C77FABCE-F11A-4276-858E-194446ECE450}" destId="{015077EC-8C3D-4818-A66F-E22A18BBA2E7}" srcOrd="0" destOrd="0" presId="urn:microsoft.com/office/officeart/2005/8/layout/bProcess2"/>
    <dgm:cxn modelId="{5EB3FB45-9C9C-499C-A842-1E0B59404845}" type="presParOf" srcId="{C77FABCE-F11A-4276-858E-194446ECE450}" destId="{C20D0B15-E991-40FA-A189-1378EF8B2FEF}" srcOrd="1" destOrd="0" presId="urn:microsoft.com/office/officeart/2005/8/layout/bProcess2"/>
    <dgm:cxn modelId="{3012575F-AD0F-4B47-8318-96F0E91FEC8B}" type="presParOf" srcId="{82DE97B6-DE26-43B9-98E6-D9A450EFA8DE}" destId="{87112621-C1A1-4762-9E5F-A785E4FA9EDB}" srcOrd="5" destOrd="0" presId="urn:microsoft.com/office/officeart/2005/8/layout/bProcess2"/>
    <dgm:cxn modelId="{FF3FFE6F-7D36-465D-B64D-BFE979E70CBA}" type="presParOf" srcId="{82DE97B6-DE26-43B9-98E6-D9A450EFA8DE}" destId="{891901F3-6ACD-4361-B644-3611A5E36F97}" srcOrd="6" destOrd="0" presId="urn:microsoft.com/office/officeart/2005/8/layout/bProcess2"/>
    <dgm:cxn modelId="{6C6683D3-AA47-40B9-A881-27177008138E}" type="presParOf" srcId="{891901F3-6ACD-4361-B644-3611A5E36F97}" destId="{F6595C3A-B460-4488-9959-D2CC04D05AF7}" srcOrd="0" destOrd="0" presId="urn:microsoft.com/office/officeart/2005/8/layout/bProcess2"/>
    <dgm:cxn modelId="{BE29E63A-0CDC-4B32-BDAD-BFE6D918F61E}" type="presParOf" srcId="{891901F3-6ACD-4361-B644-3611A5E36F97}" destId="{132E3AAF-B897-468E-A1F5-F297A66E8B25}" srcOrd="1" destOrd="0" presId="urn:microsoft.com/office/officeart/2005/8/layout/bProcess2"/>
    <dgm:cxn modelId="{040807AA-D0C0-43C3-BF54-0A8A41804874}" type="presParOf" srcId="{82DE97B6-DE26-43B9-98E6-D9A450EFA8DE}" destId="{D5D3E750-A4EA-4D01-B95C-46049ADC6884}" srcOrd="7" destOrd="0" presId="urn:microsoft.com/office/officeart/2005/8/layout/bProcess2"/>
    <dgm:cxn modelId="{36A9A206-8748-4194-BBF5-1C4183D3AD6C}" type="presParOf" srcId="{82DE97B6-DE26-43B9-98E6-D9A450EFA8DE}" destId="{4E78ADDF-9DB3-4967-BD5C-8DD3043110B4}" srcOrd="8" destOrd="0" presId="urn:microsoft.com/office/officeart/2005/8/layout/bProcess2"/>
    <dgm:cxn modelId="{B867B5EF-A0F9-454F-9014-EA5AEBA0283A}" type="presParOf" srcId="{4E78ADDF-9DB3-4967-BD5C-8DD3043110B4}" destId="{656FCD9C-258F-4C69-9F5F-693CE7FE49FE}" srcOrd="0" destOrd="0" presId="urn:microsoft.com/office/officeart/2005/8/layout/bProcess2"/>
    <dgm:cxn modelId="{A1C44723-EC0F-4C85-805F-7849FCB9F00C}" type="presParOf" srcId="{4E78ADDF-9DB3-4967-BD5C-8DD3043110B4}" destId="{52A159EB-462A-4778-8B8D-4526FEEE499D}" srcOrd="1" destOrd="0" presId="urn:microsoft.com/office/officeart/2005/8/layout/bProcess2"/>
    <dgm:cxn modelId="{3CBBC5EE-F6A5-4920-AE7B-E28D71854EE6}" type="presParOf" srcId="{82DE97B6-DE26-43B9-98E6-D9A450EFA8DE}" destId="{767EADC1-B14E-4A74-B822-E2659549F61D}" srcOrd="9" destOrd="0" presId="urn:microsoft.com/office/officeart/2005/8/layout/bProcess2"/>
    <dgm:cxn modelId="{CD5B4C3E-0456-41D8-89FF-DBC828B9B3A5}" type="presParOf" srcId="{82DE97B6-DE26-43B9-98E6-D9A450EFA8DE}" destId="{2EE74799-1FF4-4F5F-AAF7-59B295D6D915}" srcOrd="10" destOrd="0" presId="urn:microsoft.com/office/officeart/2005/8/layout/bProcess2"/>
    <dgm:cxn modelId="{E28988DB-C360-4E5A-9899-34BBA8FA5031}" type="presParOf" srcId="{2EE74799-1FF4-4F5F-AAF7-59B295D6D915}" destId="{0F863EB7-A47A-41C1-A70B-753F14104843}" srcOrd="0" destOrd="0" presId="urn:microsoft.com/office/officeart/2005/8/layout/bProcess2"/>
    <dgm:cxn modelId="{EB01AC17-1C52-406E-A335-564CBBF78B39}" type="presParOf" srcId="{2EE74799-1FF4-4F5F-AAF7-59B295D6D915}" destId="{3AB93F6D-856E-47B6-8D57-95BEFC46648E}" srcOrd="1" destOrd="0" presId="urn:microsoft.com/office/officeart/2005/8/layout/bProcess2"/>
    <dgm:cxn modelId="{721D6BAB-A579-490D-A551-9027ED81C57D}" type="presParOf" srcId="{82DE97B6-DE26-43B9-98E6-D9A450EFA8DE}" destId="{78A6BFB1-2455-48D1-A403-2F0A5CD6EC4C}" srcOrd="11" destOrd="0" presId="urn:microsoft.com/office/officeart/2005/8/layout/bProcess2"/>
    <dgm:cxn modelId="{4E8090AC-2560-4DE5-95ED-9866841E1962}" type="presParOf" srcId="{82DE97B6-DE26-43B9-98E6-D9A450EFA8DE}" destId="{6A7AE84D-B50A-423E-9710-4E66BC87FFAD}" srcOrd="12" destOrd="0" presId="urn:microsoft.com/office/officeart/2005/8/layout/b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EEBC05-F1DD-4D61-93AA-31436B957A85}">
      <dsp:nvSpPr>
        <dsp:cNvPr id="0" name=""/>
        <dsp:cNvSpPr/>
      </dsp:nvSpPr>
      <dsp:spPr>
        <a:xfrm>
          <a:off x="38388" y="13220"/>
          <a:ext cx="1094379" cy="1042291"/>
        </a:xfrm>
        <a:prstGeom prst="roundRect">
          <a:avLst/>
        </a:prstGeom>
        <a:solidFill>
          <a:srgbClr val="0066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Pre-experience survey</a:t>
          </a:r>
        </a:p>
      </dsp:txBody>
      <dsp:txXfrm>
        <a:off x="89268" y="64100"/>
        <a:ext cx="992619" cy="940531"/>
      </dsp:txXfrm>
    </dsp:sp>
    <dsp:sp modelId="{2B63EC43-6857-4E29-A904-25900D34F517}">
      <dsp:nvSpPr>
        <dsp:cNvPr id="0" name=""/>
        <dsp:cNvSpPr/>
      </dsp:nvSpPr>
      <dsp:spPr>
        <a:xfrm rot="10800000">
          <a:off x="428632" y="1133984"/>
          <a:ext cx="313891" cy="166362"/>
        </a:xfrm>
        <a:prstGeom prst="triangle">
          <a:avLst/>
        </a:prstGeom>
        <a:solidFill>
          <a:srgbClr val="CBDAB5"/>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E714DDB1-CA7D-46D6-8E93-7025F55C3A3A}">
      <dsp:nvSpPr>
        <dsp:cNvPr id="0" name=""/>
        <dsp:cNvSpPr/>
      </dsp:nvSpPr>
      <dsp:spPr>
        <a:xfrm>
          <a:off x="52948" y="1369403"/>
          <a:ext cx="1065259" cy="1001689"/>
        </a:xfrm>
        <a:prstGeom prst="roundRect">
          <a:avLst/>
        </a:prstGeom>
        <a:solidFill>
          <a:srgbClr val="0066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Course embedded formative assessment</a:t>
          </a:r>
        </a:p>
      </dsp:txBody>
      <dsp:txXfrm>
        <a:off x="101846" y="1418301"/>
        <a:ext cx="967463" cy="903893"/>
      </dsp:txXfrm>
    </dsp:sp>
    <dsp:sp modelId="{42B2A7D9-3D64-4C3A-8CF5-711461C8780F}">
      <dsp:nvSpPr>
        <dsp:cNvPr id="0" name=""/>
        <dsp:cNvSpPr/>
      </dsp:nvSpPr>
      <dsp:spPr>
        <a:xfrm rot="5404084">
          <a:off x="1206350" y="1787991"/>
          <a:ext cx="313891" cy="166362"/>
        </a:xfrm>
        <a:prstGeom prst="triangle">
          <a:avLst/>
        </a:prstGeom>
        <a:solidFill>
          <a:schemeClr val="accent3">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C20D0B15-E991-40FA-A189-1378EF8B2FEF}">
      <dsp:nvSpPr>
        <dsp:cNvPr id="0" name=""/>
        <dsp:cNvSpPr/>
      </dsp:nvSpPr>
      <dsp:spPr>
        <a:xfrm>
          <a:off x="1598968" y="1373028"/>
          <a:ext cx="1024857" cy="998064"/>
        </a:xfrm>
        <a:prstGeom prst="roundRect">
          <a:avLst/>
        </a:prstGeom>
        <a:solidFill>
          <a:srgbClr val="0066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baseline="0">
              <a:solidFill>
                <a:schemeClr val="bg1"/>
              </a:solidFill>
              <a:latin typeface="Arial" pitchFamily="34" charset="0"/>
              <a:cs typeface="Arial" pitchFamily="34" charset="0"/>
            </a:rPr>
            <a:t>The Experience</a:t>
          </a:r>
        </a:p>
      </dsp:txBody>
      <dsp:txXfrm>
        <a:off x="1647689" y="1421749"/>
        <a:ext cx="927415" cy="900622"/>
      </dsp:txXfrm>
    </dsp:sp>
    <dsp:sp modelId="{87112621-C1A1-4762-9E5F-A785E4FA9EDB}">
      <dsp:nvSpPr>
        <dsp:cNvPr id="0" name=""/>
        <dsp:cNvSpPr/>
      </dsp:nvSpPr>
      <dsp:spPr>
        <a:xfrm>
          <a:off x="1954451" y="1128193"/>
          <a:ext cx="313891" cy="166362"/>
        </a:xfrm>
        <a:prstGeom prst="triangle">
          <a:avLst/>
        </a:prstGeom>
        <a:solidFill>
          <a:srgbClr val="CBDAB5"/>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132E3AAF-B897-468E-A1F5-F297A66E8B25}">
      <dsp:nvSpPr>
        <dsp:cNvPr id="0" name=""/>
        <dsp:cNvSpPr/>
      </dsp:nvSpPr>
      <dsp:spPr>
        <a:xfrm>
          <a:off x="1581184" y="631"/>
          <a:ext cx="1060425" cy="1058505"/>
        </a:xfrm>
        <a:prstGeom prst="roundRect">
          <a:avLst/>
        </a:prstGeom>
        <a:solidFill>
          <a:srgbClr val="0066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Community-based summative assessment</a:t>
          </a:r>
        </a:p>
      </dsp:txBody>
      <dsp:txXfrm>
        <a:off x="1632856" y="52303"/>
        <a:ext cx="957081" cy="955161"/>
      </dsp:txXfrm>
    </dsp:sp>
    <dsp:sp modelId="{D5D3E750-A4EA-4D01-B95C-46049ADC6884}">
      <dsp:nvSpPr>
        <dsp:cNvPr id="0" name=""/>
        <dsp:cNvSpPr/>
      </dsp:nvSpPr>
      <dsp:spPr>
        <a:xfrm rot="5418156">
          <a:off x="2713581" y="450712"/>
          <a:ext cx="313891" cy="166362"/>
        </a:xfrm>
        <a:prstGeom prst="triangle">
          <a:avLst/>
        </a:prstGeom>
        <a:solidFill>
          <a:schemeClr val="accent3">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52A159EB-462A-4778-8B8D-4526FEEE499D}">
      <dsp:nvSpPr>
        <dsp:cNvPr id="0" name=""/>
        <dsp:cNvSpPr/>
      </dsp:nvSpPr>
      <dsp:spPr>
        <a:xfrm>
          <a:off x="3090027" y="631"/>
          <a:ext cx="1089497" cy="1074596"/>
        </a:xfrm>
        <a:prstGeom prst="roundRect">
          <a:avLst/>
        </a:prstGeom>
        <a:solidFill>
          <a:srgbClr val="0066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The Work</a:t>
          </a:r>
        </a:p>
      </dsp:txBody>
      <dsp:txXfrm>
        <a:off x="3142484" y="53088"/>
        <a:ext cx="984583" cy="969682"/>
      </dsp:txXfrm>
    </dsp:sp>
    <dsp:sp modelId="{767EADC1-B14E-4A74-B822-E2659549F61D}">
      <dsp:nvSpPr>
        <dsp:cNvPr id="0" name=""/>
        <dsp:cNvSpPr/>
      </dsp:nvSpPr>
      <dsp:spPr>
        <a:xfrm rot="10800000">
          <a:off x="3477830" y="1153701"/>
          <a:ext cx="313891" cy="166362"/>
        </a:xfrm>
        <a:prstGeom prst="triangle">
          <a:avLst/>
        </a:prstGeom>
        <a:solidFill>
          <a:schemeClr val="accent3">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3AB93F6D-856E-47B6-8D57-95BEFC46648E}">
      <dsp:nvSpPr>
        <dsp:cNvPr id="0" name=""/>
        <dsp:cNvSpPr/>
      </dsp:nvSpPr>
      <dsp:spPr>
        <a:xfrm>
          <a:off x="3102424" y="1389120"/>
          <a:ext cx="1064702" cy="968352"/>
        </a:xfrm>
        <a:prstGeom prst="roundRect">
          <a:avLst/>
        </a:prstGeom>
        <a:solidFill>
          <a:srgbClr val="0066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Course-embedded summative assessment</a:t>
          </a:r>
        </a:p>
      </dsp:txBody>
      <dsp:txXfrm>
        <a:off x="3149695" y="1436391"/>
        <a:ext cx="970160" cy="873810"/>
      </dsp:txXfrm>
    </dsp:sp>
    <dsp:sp modelId="{78A6BFB1-2455-48D1-A403-2F0A5CD6EC4C}">
      <dsp:nvSpPr>
        <dsp:cNvPr id="0" name=""/>
        <dsp:cNvSpPr/>
      </dsp:nvSpPr>
      <dsp:spPr>
        <a:xfrm rot="5342112">
          <a:off x="4245287" y="1777190"/>
          <a:ext cx="313891" cy="166362"/>
        </a:xfrm>
        <a:prstGeom prst="triangle">
          <a:avLst/>
        </a:prstGeom>
        <a:solidFill>
          <a:schemeClr val="accent3">
            <a:tint val="60000"/>
            <a:hueOff val="0"/>
            <a:satOff val="0"/>
            <a:lumOff val="0"/>
            <a:alphaOff val="0"/>
          </a:schemeClr>
        </a:solidFill>
        <a:ln>
          <a:solidFill>
            <a:schemeClr val="tx1"/>
          </a:solidFill>
        </a:ln>
        <a:effectLst/>
      </dsp:spPr>
      <dsp:style>
        <a:lnRef idx="0">
          <a:scrgbClr r="0" g="0" b="0"/>
        </a:lnRef>
        <a:fillRef idx="1">
          <a:scrgbClr r="0" g="0" b="0"/>
        </a:fillRef>
        <a:effectRef idx="0">
          <a:scrgbClr r="0" g="0" b="0"/>
        </a:effectRef>
        <a:fontRef idx="minor">
          <a:schemeClr val="lt1"/>
        </a:fontRef>
      </dsp:style>
    </dsp:sp>
    <dsp:sp modelId="{6A7AE84D-B50A-423E-9710-4E66BC87FFAD}">
      <dsp:nvSpPr>
        <dsp:cNvPr id="0" name=""/>
        <dsp:cNvSpPr/>
      </dsp:nvSpPr>
      <dsp:spPr>
        <a:xfrm>
          <a:off x="4627941" y="1338490"/>
          <a:ext cx="1020094" cy="1018982"/>
        </a:xfrm>
        <a:prstGeom prst="roundRect">
          <a:avLst/>
        </a:prstGeom>
        <a:solidFill>
          <a:srgbClr val="0066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Arial" pitchFamily="34" charset="0"/>
              <a:cs typeface="Arial" pitchFamily="34" charset="0"/>
            </a:rPr>
            <a:t>Post-experience survey</a:t>
          </a:r>
        </a:p>
      </dsp:txBody>
      <dsp:txXfrm>
        <a:off x="4677684" y="1388233"/>
        <a:ext cx="920608" cy="9194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Southeastern University</Company>
  <LinksUpToDate>false</LinksUpToDate>
  <CharactersWithSpaces>27087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Jayetta Slawson</dc:creator>
  <cp:keywords/>
  <dc:description/>
  <cp:lastModifiedBy>UserSELU</cp:lastModifiedBy>
  <cp:revision>2</cp:revision>
  <cp:lastPrinted>2016-04-27T12:59:00Z</cp:lastPrinted>
  <dcterms:created xsi:type="dcterms:W3CDTF">2016-04-27T15:41:00Z</dcterms:created>
  <dcterms:modified xsi:type="dcterms:W3CDTF">2016-04-27T15:41:00Z</dcterms:modified>
</cp:coreProperties>
</file>