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E5" w:rsidRDefault="005C185A" w:rsidP="00E804F0">
      <w:pPr>
        <w:rPr>
          <w:b/>
          <w:bCs/>
          <w:sz w:val="22"/>
          <w:szCs w:val="22"/>
        </w:rPr>
      </w:pPr>
      <w:r w:rsidRPr="00802C60">
        <w:rPr>
          <w:b/>
          <w:bCs/>
          <w:sz w:val="22"/>
          <w:szCs w:val="22"/>
        </w:rPr>
        <w:t>Professional Development Activities (PDAs)</w:t>
      </w:r>
      <w:r w:rsidR="00D201E5">
        <w:rPr>
          <w:b/>
          <w:bCs/>
          <w:sz w:val="22"/>
          <w:szCs w:val="22"/>
        </w:rPr>
        <w:tab/>
      </w:r>
      <w:r w:rsidR="00D201E5">
        <w:rPr>
          <w:b/>
          <w:bCs/>
          <w:sz w:val="22"/>
          <w:szCs w:val="22"/>
        </w:rPr>
        <w:tab/>
      </w:r>
      <w:r w:rsidR="00D201E5">
        <w:rPr>
          <w:b/>
          <w:bCs/>
          <w:sz w:val="22"/>
          <w:szCs w:val="22"/>
        </w:rPr>
        <w:tab/>
      </w:r>
      <w:r w:rsidR="00D201E5">
        <w:rPr>
          <w:b/>
          <w:bCs/>
          <w:sz w:val="22"/>
          <w:szCs w:val="22"/>
        </w:rPr>
        <w:tab/>
      </w:r>
      <w:r w:rsidR="00D201E5">
        <w:rPr>
          <w:b/>
          <w:bCs/>
          <w:sz w:val="22"/>
          <w:szCs w:val="22"/>
        </w:rPr>
        <w:tab/>
        <w:t xml:space="preserve">Revised </w:t>
      </w:r>
      <w:r w:rsidR="00E804F0">
        <w:rPr>
          <w:b/>
          <w:bCs/>
          <w:sz w:val="22"/>
          <w:szCs w:val="22"/>
        </w:rPr>
        <w:t>2015</w:t>
      </w:r>
    </w:p>
    <w:p w:rsidR="0053003D" w:rsidRPr="00802C60" w:rsidRDefault="0053003D" w:rsidP="0053003D">
      <w:pPr>
        <w:jc w:val="center"/>
        <w:rPr>
          <w:b/>
          <w:bCs/>
          <w:sz w:val="22"/>
          <w:szCs w:val="22"/>
        </w:rPr>
      </w:pPr>
    </w:p>
    <w:p w:rsidR="005C185A" w:rsidRPr="00802C60" w:rsidRDefault="005C185A" w:rsidP="005C185A">
      <w:pPr>
        <w:rPr>
          <w:sz w:val="22"/>
          <w:szCs w:val="22"/>
        </w:rPr>
      </w:pPr>
      <w:r w:rsidRPr="00802C60">
        <w:rPr>
          <w:sz w:val="22"/>
          <w:szCs w:val="22"/>
        </w:rPr>
        <w:t>PDAs are opportunities</w:t>
      </w:r>
      <w:r w:rsidRPr="00802C60">
        <w:rPr>
          <w:color w:val="000000"/>
          <w:sz w:val="22"/>
          <w:szCs w:val="22"/>
        </w:rPr>
        <w:t xml:space="preserve"> for candidates to identify resources and engage in activities that develop and expand knowledge and skills through community service, service learning, conferences, lecture series, workshops</w:t>
      </w:r>
      <w:r w:rsidR="00802C60" w:rsidRPr="00802C60">
        <w:rPr>
          <w:color w:val="000000"/>
          <w:sz w:val="22"/>
          <w:szCs w:val="22"/>
        </w:rPr>
        <w:t xml:space="preserve">, and training. </w:t>
      </w:r>
      <w:r w:rsidRPr="00802C60">
        <w:rPr>
          <w:color w:val="000000"/>
          <w:sz w:val="22"/>
          <w:szCs w:val="22"/>
        </w:rPr>
        <w:t xml:space="preserve"> </w:t>
      </w:r>
      <w:r w:rsidRPr="00802C60">
        <w:rPr>
          <w:b/>
          <w:bCs/>
          <w:sz w:val="22"/>
          <w:szCs w:val="22"/>
        </w:rPr>
        <w:t>A teacher candidate is expected to “actively seek out opportunities to grow professionally.”</w:t>
      </w:r>
      <w:r w:rsidRPr="00802C60">
        <w:rPr>
          <w:sz w:val="22"/>
          <w:szCs w:val="22"/>
        </w:rPr>
        <w:t xml:space="preserve">  This is evident as candidates:</w:t>
      </w:r>
    </w:p>
    <w:p w:rsidR="005C185A" w:rsidRPr="00802C60" w:rsidRDefault="005C185A" w:rsidP="005C185A">
      <w:pPr>
        <w:numPr>
          <w:ilvl w:val="0"/>
          <w:numId w:val="1"/>
        </w:numPr>
        <w:rPr>
          <w:sz w:val="22"/>
          <w:szCs w:val="22"/>
        </w:rPr>
      </w:pPr>
      <w:proofErr w:type="gramStart"/>
      <w:r w:rsidRPr="00802C60">
        <w:rPr>
          <w:sz w:val="22"/>
          <w:szCs w:val="22"/>
        </w:rPr>
        <w:t>identify</w:t>
      </w:r>
      <w:proofErr w:type="gramEnd"/>
      <w:r w:rsidRPr="00802C60">
        <w:rPr>
          <w:sz w:val="22"/>
          <w:szCs w:val="22"/>
        </w:rPr>
        <w:t xml:space="preserve"> resources in order to develop professional expertise (e.g., .national/state standards, national/state professional organizations, educational journals, Internet sites, etc.),</w:t>
      </w:r>
    </w:p>
    <w:p w:rsidR="005C185A" w:rsidRPr="00802C60" w:rsidRDefault="005C185A" w:rsidP="005C185A">
      <w:pPr>
        <w:numPr>
          <w:ilvl w:val="0"/>
          <w:numId w:val="1"/>
        </w:numPr>
        <w:rPr>
          <w:sz w:val="22"/>
          <w:szCs w:val="22"/>
        </w:rPr>
      </w:pPr>
      <w:r w:rsidRPr="00802C60">
        <w:rPr>
          <w:sz w:val="22"/>
          <w:szCs w:val="22"/>
        </w:rPr>
        <w:t>engage in professional development activities that expand existing understanding of teaching and learning concepts (e.g., observing teachers, planning for self-evaluation, using the Internet to locate instructional activities, joining pre-service teacher organizations, locating instructional techniques in educational journals, etc.), and</w:t>
      </w:r>
    </w:p>
    <w:p w:rsidR="005C185A" w:rsidRPr="00802C60" w:rsidRDefault="005C185A" w:rsidP="005C185A">
      <w:pPr>
        <w:numPr>
          <w:ilvl w:val="0"/>
          <w:numId w:val="1"/>
        </w:numPr>
        <w:rPr>
          <w:b/>
          <w:bCs/>
          <w:sz w:val="22"/>
          <w:szCs w:val="22"/>
        </w:rPr>
      </w:pPr>
      <w:proofErr w:type="gramStart"/>
      <w:r w:rsidRPr="00802C60">
        <w:rPr>
          <w:b/>
          <w:bCs/>
          <w:sz w:val="22"/>
          <w:szCs w:val="22"/>
        </w:rPr>
        <w:t>participate</w:t>
      </w:r>
      <w:proofErr w:type="gramEnd"/>
      <w:r w:rsidRPr="00802C60">
        <w:rPr>
          <w:b/>
          <w:bCs/>
          <w:sz w:val="22"/>
          <w:szCs w:val="22"/>
        </w:rPr>
        <w:t xml:space="preserve"> in professional development activities to enhance professional skills (e.g., attending meetings of professional organizations, attending conferences and lecture series, attending workshops and training sessions, serving on committees, service learning, etc.).</w:t>
      </w:r>
    </w:p>
    <w:p w:rsidR="005C185A" w:rsidRPr="00802C60" w:rsidRDefault="005C185A" w:rsidP="005C185A">
      <w:pPr>
        <w:rPr>
          <w:sz w:val="22"/>
          <w:szCs w:val="22"/>
        </w:rPr>
      </w:pPr>
    </w:p>
    <w:p w:rsidR="005C185A" w:rsidRPr="00802C60" w:rsidRDefault="005C185A" w:rsidP="005C185A">
      <w:pPr>
        <w:rPr>
          <w:sz w:val="22"/>
          <w:szCs w:val="22"/>
        </w:rPr>
      </w:pPr>
      <w:r w:rsidRPr="00802C60">
        <w:rPr>
          <w:sz w:val="22"/>
          <w:szCs w:val="22"/>
        </w:rPr>
        <w:t>Professional Development Activities are currently defined in three (3) distinct categories</w:t>
      </w:r>
      <w:r w:rsidR="00802C60" w:rsidRPr="00802C60">
        <w:rPr>
          <w:sz w:val="22"/>
          <w:szCs w:val="22"/>
        </w:rPr>
        <w:t xml:space="preserve"> that you will be using</w:t>
      </w:r>
      <w:r w:rsidRPr="00802C60">
        <w:rPr>
          <w:sz w:val="22"/>
          <w:szCs w:val="22"/>
        </w:rPr>
        <w:t xml:space="preserve">: </w:t>
      </w:r>
    </w:p>
    <w:p w:rsidR="005C185A" w:rsidRPr="00802C60" w:rsidRDefault="005C185A" w:rsidP="005C185A">
      <w:pPr>
        <w:numPr>
          <w:ilvl w:val="0"/>
          <w:numId w:val="2"/>
        </w:numPr>
        <w:rPr>
          <w:sz w:val="22"/>
          <w:szCs w:val="22"/>
        </w:rPr>
      </w:pPr>
      <w:r w:rsidRPr="00802C60">
        <w:rPr>
          <w:b/>
          <w:bCs/>
          <w:sz w:val="22"/>
          <w:szCs w:val="22"/>
        </w:rPr>
        <w:t>Community Service</w:t>
      </w:r>
      <w:r w:rsidRPr="00802C60">
        <w:rPr>
          <w:sz w:val="22"/>
          <w:szCs w:val="22"/>
        </w:rPr>
        <w:t xml:space="preserve"> includes service learning activities, serving on committees, volunteering to assist civic/community organizations, etc.</w:t>
      </w:r>
    </w:p>
    <w:p w:rsidR="005C185A" w:rsidRPr="00802C60" w:rsidRDefault="005C185A" w:rsidP="005C185A">
      <w:pPr>
        <w:numPr>
          <w:ilvl w:val="0"/>
          <w:numId w:val="2"/>
        </w:numPr>
        <w:rPr>
          <w:sz w:val="22"/>
          <w:szCs w:val="22"/>
        </w:rPr>
      </w:pPr>
      <w:r w:rsidRPr="00802C60">
        <w:rPr>
          <w:b/>
          <w:bCs/>
          <w:sz w:val="22"/>
          <w:szCs w:val="22"/>
        </w:rPr>
        <w:t>Conference</w:t>
      </w:r>
      <w:r w:rsidRPr="00802C60">
        <w:rPr>
          <w:sz w:val="22"/>
          <w:szCs w:val="22"/>
        </w:rPr>
        <w:t xml:space="preserve"> includes mini-conferences, meetings for professional organizations, lecture series, Mid-Semester Student Teaching Seminar, etc.</w:t>
      </w:r>
    </w:p>
    <w:p w:rsidR="005C185A" w:rsidRPr="00802C60" w:rsidRDefault="005C185A" w:rsidP="005C185A">
      <w:pPr>
        <w:numPr>
          <w:ilvl w:val="0"/>
          <w:numId w:val="2"/>
        </w:numPr>
        <w:rPr>
          <w:sz w:val="22"/>
          <w:szCs w:val="22"/>
        </w:rPr>
      </w:pPr>
      <w:r w:rsidRPr="00802C60">
        <w:rPr>
          <w:b/>
          <w:bCs/>
          <w:sz w:val="22"/>
          <w:szCs w:val="22"/>
        </w:rPr>
        <w:t>Workshops/Training</w:t>
      </w:r>
      <w:r w:rsidRPr="00802C60">
        <w:rPr>
          <w:sz w:val="22"/>
          <w:szCs w:val="22"/>
        </w:rPr>
        <w:t xml:space="preserve"> generally includes information sessions that can be used by the candidate and is more focused on a specific skill or topic.</w:t>
      </w:r>
    </w:p>
    <w:p w:rsidR="00802C60" w:rsidRPr="00802C60" w:rsidRDefault="00E804F0" w:rsidP="00E804F0">
      <w:pPr>
        <w:rPr>
          <w:sz w:val="22"/>
          <w:szCs w:val="22"/>
        </w:rPr>
      </w:pPr>
      <w:r>
        <w:rPr>
          <w:b/>
          <w:bCs/>
          <w:sz w:val="22"/>
          <w:szCs w:val="22"/>
        </w:rPr>
        <w:t>**</w:t>
      </w:r>
      <w:r w:rsidR="00802C60" w:rsidRPr="00802C60">
        <w:rPr>
          <w:b/>
          <w:bCs/>
          <w:sz w:val="22"/>
          <w:szCs w:val="22"/>
        </w:rPr>
        <w:t xml:space="preserve">Publications and Presentations </w:t>
      </w:r>
      <w:r w:rsidR="00802C60" w:rsidRPr="00802C60">
        <w:rPr>
          <w:sz w:val="22"/>
          <w:szCs w:val="22"/>
        </w:rPr>
        <w:t>are NOT to be used by candidates for the purpose of documenting PDAs.</w:t>
      </w:r>
    </w:p>
    <w:p w:rsidR="005C185A" w:rsidRPr="00802C60" w:rsidRDefault="005C185A" w:rsidP="005C185A">
      <w:pPr>
        <w:rPr>
          <w:b/>
          <w:bCs/>
          <w:sz w:val="22"/>
          <w:szCs w:val="22"/>
        </w:rPr>
      </w:pPr>
    </w:p>
    <w:p w:rsidR="005C185A" w:rsidRPr="00802C60" w:rsidRDefault="005C185A" w:rsidP="005C185A">
      <w:pPr>
        <w:rPr>
          <w:sz w:val="22"/>
          <w:szCs w:val="22"/>
        </w:rPr>
      </w:pPr>
      <w:r w:rsidRPr="00802C60">
        <w:rPr>
          <w:sz w:val="22"/>
          <w:szCs w:val="22"/>
        </w:rPr>
        <w:t xml:space="preserve">PDAs to be entered in PASS-PORT include </w:t>
      </w:r>
      <w:r w:rsidRPr="00802C60">
        <w:rPr>
          <w:b/>
          <w:bCs/>
          <w:sz w:val="22"/>
          <w:szCs w:val="22"/>
        </w:rPr>
        <w:t>attendance and/or participation</w:t>
      </w:r>
      <w:r w:rsidRPr="00802C60">
        <w:rPr>
          <w:sz w:val="22"/>
          <w:szCs w:val="22"/>
        </w:rPr>
        <w:t xml:space="preserve"> in community service, service learning activities, conferences, lecture series, professional meetings, workshops, and training sessions sponsored by national, regional, state, and local organizations, as well as activities sponsored by the university, college, departments and/or required by course instructors.</w:t>
      </w:r>
      <w:r w:rsidR="00802C60" w:rsidRPr="00802C60">
        <w:rPr>
          <w:sz w:val="22"/>
          <w:szCs w:val="22"/>
        </w:rPr>
        <w:t xml:space="preserve"> Many examples of PDAs are listed below:</w:t>
      </w:r>
    </w:p>
    <w:p w:rsidR="005C185A" w:rsidRPr="00802C60" w:rsidRDefault="005C185A" w:rsidP="005C185A">
      <w:pPr>
        <w:rPr>
          <w:sz w:val="22"/>
          <w:szCs w:val="22"/>
        </w:rPr>
      </w:pPr>
    </w:p>
    <w:p w:rsidR="005C185A" w:rsidRPr="00802C60" w:rsidRDefault="005C185A" w:rsidP="005C185A">
      <w:pPr>
        <w:rPr>
          <w:sz w:val="22"/>
          <w:szCs w:val="22"/>
        </w:rPr>
      </w:pPr>
      <w:r w:rsidRPr="00802C60">
        <w:rPr>
          <w:sz w:val="22"/>
          <w:szCs w:val="22"/>
        </w:rPr>
        <w:t>Community Service/Service Learning</w:t>
      </w:r>
    </w:p>
    <w:p w:rsidR="005C185A" w:rsidRPr="00802C60" w:rsidRDefault="005C185A" w:rsidP="005C185A">
      <w:pPr>
        <w:numPr>
          <w:ilvl w:val="0"/>
          <w:numId w:val="3"/>
        </w:numPr>
        <w:rPr>
          <w:sz w:val="22"/>
          <w:szCs w:val="22"/>
        </w:rPr>
      </w:pPr>
      <w:r w:rsidRPr="00802C60">
        <w:rPr>
          <w:sz w:val="22"/>
          <w:szCs w:val="22"/>
        </w:rPr>
        <w:t>School board meeting course assignment</w:t>
      </w:r>
    </w:p>
    <w:p w:rsidR="005C185A" w:rsidRDefault="005C185A" w:rsidP="005C185A">
      <w:pPr>
        <w:numPr>
          <w:ilvl w:val="0"/>
          <w:numId w:val="3"/>
        </w:numPr>
        <w:rPr>
          <w:sz w:val="22"/>
          <w:szCs w:val="22"/>
        </w:rPr>
      </w:pPr>
      <w:r w:rsidRPr="00802C60">
        <w:rPr>
          <w:sz w:val="22"/>
          <w:szCs w:val="22"/>
        </w:rPr>
        <w:t>Serving on committees</w:t>
      </w:r>
    </w:p>
    <w:p w:rsidR="001264FA" w:rsidRPr="00802C60" w:rsidRDefault="001264FA" w:rsidP="005C185A">
      <w:pPr>
        <w:numPr>
          <w:ilvl w:val="0"/>
          <w:numId w:val="3"/>
        </w:numPr>
        <w:rPr>
          <w:sz w:val="22"/>
          <w:szCs w:val="22"/>
        </w:rPr>
      </w:pPr>
      <w:r>
        <w:rPr>
          <w:sz w:val="22"/>
          <w:szCs w:val="22"/>
        </w:rPr>
        <w:t>Sponsors of civic organizations</w:t>
      </w:r>
    </w:p>
    <w:p w:rsidR="005C185A" w:rsidRPr="00802C60" w:rsidRDefault="005C185A" w:rsidP="005C185A">
      <w:pPr>
        <w:numPr>
          <w:ilvl w:val="0"/>
          <w:numId w:val="3"/>
        </w:numPr>
        <w:rPr>
          <w:sz w:val="22"/>
          <w:szCs w:val="22"/>
        </w:rPr>
      </w:pPr>
      <w:r w:rsidRPr="00802C60">
        <w:rPr>
          <w:sz w:val="22"/>
          <w:szCs w:val="22"/>
        </w:rPr>
        <w:t>Joining and attending meetings of pre-service teacher organizations</w:t>
      </w:r>
    </w:p>
    <w:p w:rsidR="005C185A" w:rsidRPr="00802C60" w:rsidRDefault="005C185A" w:rsidP="005C185A">
      <w:pPr>
        <w:numPr>
          <w:ilvl w:val="0"/>
          <w:numId w:val="3"/>
        </w:numPr>
        <w:rPr>
          <w:sz w:val="22"/>
          <w:szCs w:val="22"/>
        </w:rPr>
      </w:pPr>
      <w:r w:rsidRPr="00802C60">
        <w:rPr>
          <w:sz w:val="22"/>
          <w:szCs w:val="22"/>
        </w:rPr>
        <w:t>Instructor approved course assignments</w:t>
      </w:r>
    </w:p>
    <w:p w:rsidR="005C185A" w:rsidRPr="00802C60" w:rsidRDefault="005C185A" w:rsidP="005C185A">
      <w:pPr>
        <w:ind w:left="360"/>
        <w:rPr>
          <w:sz w:val="22"/>
          <w:szCs w:val="22"/>
        </w:rPr>
      </w:pPr>
    </w:p>
    <w:p w:rsidR="00E804F0" w:rsidRPr="00802C60" w:rsidRDefault="005C185A" w:rsidP="005C185A">
      <w:pPr>
        <w:rPr>
          <w:sz w:val="22"/>
          <w:szCs w:val="22"/>
        </w:rPr>
      </w:pPr>
      <w:r w:rsidRPr="00802C60">
        <w:rPr>
          <w:sz w:val="22"/>
          <w:szCs w:val="22"/>
        </w:rPr>
        <w:t>Conference/lecture series</w:t>
      </w:r>
    </w:p>
    <w:p w:rsidR="005C185A" w:rsidRPr="00802C60" w:rsidRDefault="005C185A" w:rsidP="005C185A">
      <w:pPr>
        <w:numPr>
          <w:ilvl w:val="0"/>
          <w:numId w:val="4"/>
        </w:numPr>
        <w:rPr>
          <w:sz w:val="22"/>
          <w:szCs w:val="22"/>
        </w:rPr>
      </w:pPr>
      <w:r w:rsidRPr="00802C60">
        <w:rPr>
          <w:sz w:val="22"/>
          <w:szCs w:val="22"/>
        </w:rPr>
        <w:t xml:space="preserve">Mid-Semester Student Teaching Seminar – </w:t>
      </w:r>
    </w:p>
    <w:p w:rsidR="005C185A" w:rsidRPr="00802C60" w:rsidRDefault="005C185A" w:rsidP="005C185A">
      <w:pPr>
        <w:numPr>
          <w:ilvl w:val="0"/>
          <w:numId w:val="4"/>
        </w:numPr>
        <w:rPr>
          <w:sz w:val="22"/>
          <w:szCs w:val="22"/>
        </w:rPr>
      </w:pPr>
      <w:r w:rsidRPr="00802C60">
        <w:rPr>
          <w:sz w:val="22"/>
          <w:szCs w:val="22"/>
        </w:rPr>
        <w:t>Instructor approved course assignments</w:t>
      </w:r>
    </w:p>
    <w:p w:rsidR="005C185A" w:rsidRPr="00802C60" w:rsidRDefault="005C185A" w:rsidP="005C185A">
      <w:pPr>
        <w:rPr>
          <w:sz w:val="22"/>
          <w:szCs w:val="22"/>
        </w:rPr>
      </w:pPr>
    </w:p>
    <w:p w:rsidR="005C185A" w:rsidRPr="00802C60" w:rsidRDefault="005C185A" w:rsidP="005C185A">
      <w:pPr>
        <w:rPr>
          <w:sz w:val="22"/>
          <w:szCs w:val="22"/>
        </w:rPr>
      </w:pPr>
      <w:r w:rsidRPr="00802C60">
        <w:rPr>
          <w:sz w:val="22"/>
          <w:szCs w:val="22"/>
        </w:rPr>
        <w:t>Workshops/Training</w:t>
      </w:r>
    </w:p>
    <w:p w:rsidR="005C185A" w:rsidRPr="00802C60" w:rsidRDefault="005C185A" w:rsidP="005C185A">
      <w:pPr>
        <w:numPr>
          <w:ilvl w:val="0"/>
          <w:numId w:val="4"/>
        </w:numPr>
        <w:rPr>
          <w:sz w:val="22"/>
          <w:szCs w:val="22"/>
        </w:rPr>
      </w:pPr>
      <w:r w:rsidRPr="00802C60">
        <w:rPr>
          <w:sz w:val="22"/>
          <w:szCs w:val="22"/>
        </w:rPr>
        <w:t>Dyslexia Workshop</w:t>
      </w:r>
    </w:p>
    <w:p w:rsidR="005C185A" w:rsidRPr="00802C60" w:rsidRDefault="005C185A" w:rsidP="005C185A">
      <w:pPr>
        <w:numPr>
          <w:ilvl w:val="0"/>
          <w:numId w:val="4"/>
        </w:numPr>
        <w:rPr>
          <w:sz w:val="22"/>
          <w:szCs w:val="22"/>
        </w:rPr>
      </w:pPr>
      <w:r w:rsidRPr="00802C60">
        <w:rPr>
          <w:sz w:val="22"/>
          <w:szCs w:val="22"/>
        </w:rPr>
        <w:t>Annual Mock IEP</w:t>
      </w:r>
    </w:p>
    <w:p w:rsidR="005C185A" w:rsidRPr="00802C60" w:rsidRDefault="005C185A" w:rsidP="005C185A">
      <w:pPr>
        <w:numPr>
          <w:ilvl w:val="0"/>
          <w:numId w:val="4"/>
        </w:numPr>
        <w:rPr>
          <w:sz w:val="22"/>
          <w:szCs w:val="22"/>
        </w:rPr>
      </w:pPr>
      <w:r w:rsidRPr="00802C60">
        <w:rPr>
          <w:sz w:val="22"/>
          <w:szCs w:val="22"/>
        </w:rPr>
        <w:t>Mock Interview Night – 1hour</w:t>
      </w:r>
    </w:p>
    <w:p w:rsidR="005C185A" w:rsidRPr="00802C60" w:rsidRDefault="005C185A" w:rsidP="005C185A">
      <w:pPr>
        <w:numPr>
          <w:ilvl w:val="0"/>
          <w:numId w:val="4"/>
        </w:numPr>
        <w:rPr>
          <w:sz w:val="22"/>
          <w:szCs w:val="22"/>
        </w:rPr>
      </w:pPr>
      <w:r w:rsidRPr="00802C60">
        <w:rPr>
          <w:sz w:val="22"/>
          <w:szCs w:val="22"/>
        </w:rPr>
        <w:t>PASS-PORT sessions as approved by facilitator</w:t>
      </w:r>
    </w:p>
    <w:p w:rsidR="005C185A" w:rsidRPr="00802C60" w:rsidRDefault="005C185A" w:rsidP="005C185A">
      <w:pPr>
        <w:numPr>
          <w:ilvl w:val="0"/>
          <w:numId w:val="4"/>
        </w:numPr>
        <w:rPr>
          <w:sz w:val="22"/>
          <w:szCs w:val="22"/>
        </w:rPr>
      </w:pPr>
      <w:r w:rsidRPr="00802C60">
        <w:rPr>
          <w:sz w:val="22"/>
          <w:szCs w:val="22"/>
        </w:rPr>
        <w:t>Instructor approved course assignments</w:t>
      </w:r>
    </w:p>
    <w:p w:rsidR="005C185A" w:rsidRPr="00802C60" w:rsidRDefault="005C185A" w:rsidP="005C185A">
      <w:pPr>
        <w:ind w:left="360"/>
        <w:rPr>
          <w:sz w:val="22"/>
          <w:szCs w:val="22"/>
        </w:rPr>
      </w:pPr>
    </w:p>
    <w:p w:rsidR="00802C60" w:rsidRPr="00802C60" w:rsidRDefault="005C185A" w:rsidP="005C185A">
      <w:pPr>
        <w:ind w:left="-96"/>
        <w:rPr>
          <w:sz w:val="22"/>
          <w:szCs w:val="22"/>
        </w:rPr>
      </w:pPr>
      <w:r w:rsidRPr="00802C60">
        <w:rPr>
          <w:sz w:val="22"/>
          <w:szCs w:val="22"/>
        </w:rPr>
        <w:t xml:space="preserve">As candidates complete a professional development activity, they are required to enter it into PASS-PORT.  They should not wait until the end of the semester.  PDAs should be entered at the time of an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2245"/>
        <w:gridCol w:w="2318"/>
        <w:gridCol w:w="2208"/>
        <w:gridCol w:w="1829"/>
      </w:tblGrid>
      <w:tr w:rsidR="005C185A" w:rsidRPr="00802C60">
        <w:tc>
          <w:tcPr>
            <w:tcW w:w="2494" w:type="dxa"/>
          </w:tcPr>
          <w:p w:rsidR="005C185A" w:rsidRPr="00802C60" w:rsidRDefault="005C185A" w:rsidP="000A7E70"/>
        </w:tc>
        <w:tc>
          <w:tcPr>
            <w:tcW w:w="2037" w:type="dxa"/>
          </w:tcPr>
          <w:p w:rsidR="005C185A" w:rsidRPr="00802C60" w:rsidRDefault="005C185A" w:rsidP="000A7E70">
            <w:pPr>
              <w:jc w:val="center"/>
            </w:pPr>
            <w:r w:rsidRPr="00802C60">
              <w:rPr>
                <w:sz w:val="22"/>
                <w:szCs w:val="22"/>
              </w:rPr>
              <w:t>Introductory</w:t>
            </w:r>
            <w:r w:rsidR="0037657F">
              <w:rPr>
                <w:sz w:val="22"/>
                <w:szCs w:val="22"/>
              </w:rPr>
              <w:t>/Emerging</w:t>
            </w:r>
            <w:r w:rsidRPr="00802C60">
              <w:rPr>
                <w:sz w:val="22"/>
                <w:szCs w:val="22"/>
              </w:rPr>
              <w:t xml:space="preserve"> Level</w:t>
            </w:r>
            <w:r w:rsidR="0037657F">
              <w:rPr>
                <w:sz w:val="22"/>
                <w:szCs w:val="22"/>
              </w:rPr>
              <w:t>s</w:t>
            </w:r>
          </w:p>
        </w:tc>
        <w:tc>
          <w:tcPr>
            <w:tcW w:w="2036" w:type="dxa"/>
          </w:tcPr>
          <w:p w:rsidR="005C185A" w:rsidRPr="00802C60" w:rsidRDefault="005C185A" w:rsidP="000A7E70">
            <w:pPr>
              <w:jc w:val="center"/>
            </w:pPr>
            <w:r w:rsidRPr="00802C60">
              <w:rPr>
                <w:sz w:val="22"/>
                <w:szCs w:val="22"/>
              </w:rPr>
              <w:t>Developing</w:t>
            </w:r>
            <w:r w:rsidR="0037657F">
              <w:rPr>
                <w:sz w:val="22"/>
                <w:szCs w:val="22"/>
              </w:rPr>
              <w:t>/Proficiency</w:t>
            </w:r>
            <w:r w:rsidRPr="00802C60">
              <w:rPr>
                <w:sz w:val="22"/>
                <w:szCs w:val="22"/>
              </w:rPr>
              <w:t xml:space="preserve"> Level</w:t>
            </w:r>
            <w:r w:rsidR="0037657F">
              <w:rPr>
                <w:sz w:val="22"/>
                <w:szCs w:val="22"/>
              </w:rPr>
              <w:t>s</w:t>
            </w:r>
          </w:p>
        </w:tc>
        <w:tc>
          <w:tcPr>
            <w:tcW w:w="2143" w:type="dxa"/>
          </w:tcPr>
          <w:p w:rsidR="005C185A" w:rsidRPr="00802C60" w:rsidRDefault="005C185A" w:rsidP="000A7E70">
            <w:pPr>
              <w:jc w:val="center"/>
            </w:pPr>
            <w:r w:rsidRPr="00802C60">
              <w:rPr>
                <w:sz w:val="22"/>
                <w:szCs w:val="22"/>
              </w:rPr>
              <w:t>Competency</w:t>
            </w:r>
            <w:r w:rsidR="0037657F">
              <w:rPr>
                <w:sz w:val="22"/>
                <w:szCs w:val="22"/>
              </w:rPr>
              <w:t>/Capstone</w:t>
            </w:r>
            <w:r w:rsidRPr="00802C60">
              <w:rPr>
                <w:sz w:val="22"/>
                <w:szCs w:val="22"/>
              </w:rPr>
              <w:t xml:space="preserve"> Level</w:t>
            </w:r>
            <w:r w:rsidR="0037657F">
              <w:rPr>
                <w:sz w:val="22"/>
                <w:szCs w:val="22"/>
              </w:rPr>
              <w:t>s</w:t>
            </w:r>
          </w:p>
        </w:tc>
        <w:tc>
          <w:tcPr>
            <w:tcW w:w="1932" w:type="dxa"/>
          </w:tcPr>
          <w:p w:rsidR="005C185A" w:rsidRPr="00802C60" w:rsidRDefault="005C185A" w:rsidP="000A7E70">
            <w:pPr>
              <w:jc w:val="center"/>
            </w:pPr>
            <w:r w:rsidRPr="00802C60">
              <w:rPr>
                <w:sz w:val="22"/>
                <w:szCs w:val="22"/>
              </w:rPr>
              <w:t>Cumulative Total</w:t>
            </w:r>
          </w:p>
        </w:tc>
      </w:tr>
      <w:tr w:rsidR="005C185A" w:rsidRPr="00802C60">
        <w:tc>
          <w:tcPr>
            <w:tcW w:w="2494" w:type="dxa"/>
          </w:tcPr>
          <w:p w:rsidR="005C185A" w:rsidRPr="00802C60" w:rsidRDefault="005C185A" w:rsidP="000A7E70">
            <w:r w:rsidRPr="00802C60">
              <w:rPr>
                <w:sz w:val="22"/>
                <w:szCs w:val="22"/>
              </w:rPr>
              <w:t>Required PDA Hours</w:t>
            </w:r>
          </w:p>
        </w:tc>
        <w:tc>
          <w:tcPr>
            <w:tcW w:w="2037" w:type="dxa"/>
          </w:tcPr>
          <w:p w:rsidR="005C185A" w:rsidRPr="00802C60" w:rsidRDefault="005C185A" w:rsidP="000A7E70">
            <w:pPr>
              <w:jc w:val="center"/>
            </w:pPr>
            <w:r w:rsidRPr="00802C60">
              <w:rPr>
                <w:sz w:val="22"/>
                <w:szCs w:val="22"/>
              </w:rPr>
              <w:t>5*</w:t>
            </w:r>
          </w:p>
        </w:tc>
        <w:tc>
          <w:tcPr>
            <w:tcW w:w="2036" w:type="dxa"/>
          </w:tcPr>
          <w:p w:rsidR="005C185A" w:rsidRPr="00802C60" w:rsidRDefault="005C185A" w:rsidP="000A7E70">
            <w:pPr>
              <w:jc w:val="center"/>
            </w:pPr>
            <w:r w:rsidRPr="00802C60">
              <w:rPr>
                <w:sz w:val="22"/>
                <w:szCs w:val="22"/>
              </w:rPr>
              <w:t>10*</w:t>
            </w:r>
          </w:p>
        </w:tc>
        <w:tc>
          <w:tcPr>
            <w:tcW w:w="2143" w:type="dxa"/>
          </w:tcPr>
          <w:p w:rsidR="005C185A" w:rsidRPr="00802C60" w:rsidRDefault="005C185A" w:rsidP="000A7E70">
            <w:pPr>
              <w:jc w:val="center"/>
            </w:pPr>
            <w:r w:rsidRPr="00802C60">
              <w:rPr>
                <w:sz w:val="22"/>
                <w:szCs w:val="22"/>
              </w:rPr>
              <w:t>10*</w:t>
            </w:r>
          </w:p>
        </w:tc>
        <w:tc>
          <w:tcPr>
            <w:tcW w:w="1932" w:type="dxa"/>
          </w:tcPr>
          <w:p w:rsidR="005C185A" w:rsidRPr="00802C60" w:rsidRDefault="005C185A" w:rsidP="000A7E70">
            <w:pPr>
              <w:jc w:val="center"/>
            </w:pPr>
            <w:r w:rsidRPr="00802C60">
              <w:rPr>
                <w:sz w:val="22"/>
                <w:szCs w:val="22"/>
              </w:rPr>
              <w:t>25*</w:t>
            </w:r>
          </w:p>
        </w:tc>
      </w:tr>
    </w:tbl>
    <w:p w:rsidR="00C15294" w:rsidRDefault="00C15294" w:rsidP="009E288A"/>
    <w:sectPr w:rsidR="00C15294" w:rsidSect="009E288A">
      <w:type w:val="continuous"/>
      <w:pgSz w:w="12240" w:h="15840"/>
      <w:pgMar w:top="360" w:right="833" w:bottom="540" w:left="74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BBE"/>
    <w:multiLevelType w:val="hybridMultilevel"/>
    <w:tmpl w:val="5DA88A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6DAB7E73"/>
    <w:multiLevelType w:val="hybridMultilevel"/>
    <w:tmpl w:val="951271E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4A94BAD"/>
    <w:multiLevelType w:val="hybridMultilevel"/>
    <w:tmpl w:val="D4D4403E"/>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C603BC7"/>
    <w:multiLevelType w:val="hybridMultilevel"/>
    <w:tmpl w:val="33F81D8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87"/>
  <w:displayVerticalDrawingGridEvery w:val="2"/>
  <w:noPunctuationKerning/>
  <w:characterSpacingControl w:val="doNotCompress"/>
  <w:doNotValidateAgainstSchema/>
  <w:doNotDemarcateInvalidXml/>
  <w:compat/>
  <w:rsids>
    <w:rsidRoot w:val="00371501"/>
    <w:rsid w:val="0004138C"/>
    <w:rsid w:val="000A7E70"/>
    <w:rsid w:val="001264FA"/>
    <w:rsid w:val="00201CD4"/>
    <w:rsid w:val="00371501"/>
    <w:rsid w:val="0037657F"/>
    <w:rsid w:val="003A2D1D"/>
    <w:rsid w:val="0053003D"/>
    <w:rsid w:val="005C185A"/>
    <w:rsid w:val="005F0541"/>
    <w:rsid w:val="006B7C1D"/>
    <w:rsid w:val="007E1397"/>
    <w:rsid w:val="00802C60"/>
    <w:rsid w:val="009E288A"/>
    <w:rsid w:val="00B4162A"/>
    <w:rsid w:val="00B65646"/>
    <w:rsid w:val="00BA37E9"/>
    <w:rsid w:val="00C15294"/>
    <w:rsid w:val="00D201E5"/>
    <w:rsid w:val="00E6356E"/>
    <w:rsid w:val="00E804F0"/>
    <w:rsid w:val="00EE5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314777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Office Word</Application>
  <DocSecurity>0</DocSecurity>
  <Lines>22</Lines>
  <Paragraphs>6</Paragraphs>
  <ScaleCrop>false</ScaleCrop>
  <Company>Southeastern Louisiana University</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Activities (PDAs)</dc:title>
  <dc:creator>Stefanie Reed Sorbet</dc:creator>
  <cp:lastModifiedBy>user</cp:lastModifiedBy>
  <cp:revision>2</cp:revision>
  <cp:lastPrinted>2007-02-27T16:03:00Z</cp:lastPrinted>
  <dcterms:created xsi:type="dcterms:W3CDTF">2015-03-03T20:18:00Z</dcterms:created>
  <dcterms:modified xsi:type="dcterms:W3CDTF">2015-03-03T20:18:00Z</dcterms:modified>
</cp:coreProperties>
</file>